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BF9" w:rsidRPr="005A3BF9" w:rsidRDefault="005A3BF9" w:rsidP="005A3BF9">
      <w:pPr>
        <w:spacing w:line="264" w:lineRule="auto"/>
        <w:ind w:firstLine="720"/>
        <w:jc w:val="both"/>
        <w:rPr>
          <w:b/>
          <w:color w:val="auto"/>
        </w:rPr>
      </w:pPr>
      <w:r w:rsidRPr="005A3BF9">
        <w:rPr>
          <w:b/>
          <w:color w:val="auto"/>
        </w:rPr>
        <w:t>I. Thời gian, địa điểm</w:t>
      </w:r>
    </w:p>
    <w:p w:rsidR="005A3BF9" w:rsidRPr="005A3BF9" w:rsidRDefault="005A3BF9" w:rsidP="005A3BF9">
      <w:pPr>
        <w:spacing w:after="120" w:line="252" w:lineRule="auto"/>
        <w:ind w:firstLine="720"/>
        <w:jc w:val="both"/>
        <w:rPr>
          <w:b/>
          <w:color w:val="auto"/>
        </w:rPr>
      </w:pPr>
      <w:r w:rsidRPr="005A3BF9">
        <w:rPr>
          <w:b/>
          <w:color w:val="auto"/>
        </w:rPr>
        <w:t xml:space="preserve">1. Thời gian: </w:t>
      </w:r>
      <w:r w:rsidRPr="005A3BF9">
        <w:rPr>
          <w:bCs/>
          <w:color w:val="auto"/>
        </w:rPr>
        <w:t>nhập học</w:t>
      </w:r>
      <w:r w:rsidRPr="005A3BF9">
        <w:rPr>
          <w:b/>
          <w:color w:val="auto"/>
        </w:rPr>
        <w:t xml:space="preserve"> </w:t>
      </w:r>
      <w:r w:rsidRPr="005A3BF9">
        <w:rPr>
          <w:color w:val="auto"/>
        </w:rPr>
        <w:t xml:space="preserve">từ ngày </w:t>
      </w:r>
      <w:r w:rsidRPr="005A3BF9">
        <w:rPr>
          <w:b/>
          <w:color w:val="auto"/>
        </w:rPr>
        <w:t xml:space="preserve">26/8/2025 </w:t>
      </w:r>
      <w:r w:rsidRPr="005A3BF9">
        <w:rPr>
          <w:bCs/>
          <w:color w:val="auto"/>
        </w:rPr>
        <w:t>đến ngày</w:t>
      </w:r>
      <w:r w:rsidRPr="005A3BF9">
        <w:rPr>
          <w:b/>
          <w:color w:val="auto"/>
        </w:rPr>
        <w:t xml:space="preserve"> 27/8/2025</w:t>
      </w:r>
    </w:p>
    <w:p w:rsidR="005A3BF9" w:rsidRPr="005A3BF9" w:rsidRDefault="005A3BF9" w:rsidP="005A3BF9">
      <w:pPr>
        <w:spacing w:line="252" w:lineRule="auto"/>
        <w:ind w:firstLine="720"/>
        <w:jc w:val="both"/>
        <w:rPr>
          <w:color w:val="FF0000"/>
        </w:rPr>
      </w:pPr>
      <w:r w:rsidRPr="005A3BF9">
        <w:rPr>
          <w:color w:val="FF0000"/>
        </w:rPr>
        <w:t xml:space="preserve">- </w:t>
      </w:r>
      <w:r w:rsidRPr="005A3BF9">
        <w:rPr>
          <w:b/>
          <w:color w:val="FF0000"/>
        </w:rPr>
        <w:t>Ngày 26/8/2025:</w:t>
      </w:r>
    </w:p>
    <w:p w:rsidR="005A3BF9" w:rsidRPr="005A3BF9" w:rsidRDefault="005A3BF9" w:rsidP="005A3BF9">
      <w:pPr>
        <w:spacing w:line="252" w:lineRule="auto"/>
        <w:ind w:firstLine="720"/>
        <w:jc w:val="both"/>
        <w:rPr>
          <w:szCs w:val="26"/>
        </w:rPr>
      </w:pPr>
      <w:r w:rsidRPr="005A3BF9">
        <w:rPr>
          <w:b/>
          <w:color w:val="auto"/>
        </w:rPr>
        <w:t xml:space="preserve">+ Từ 07h00 - 11h30 </w:t>
      </w:r>
      <w:r w:rsidRPr="005A3BF9">
        <w:t xml:space="preserve">nhập học sinh viên các ngành: </w:t>
      </w:r>
      <w:r w:rsidRPr="005A3BF9">
        <w:rPr>
          <w:szCs w:val="26"/>
        </w:rPr>
        <w:t>Sư phạm Mỹ thuật, Giáo dục Tiểu học, Sư phạm Toán học, Sư phạm Tin học, Sư phạm Vật lý, Sư phạm Hóa học, Sư phạm Sinh học, Sư phạm Ngữ văn, Sư phạm Lịch sử, Sư phạm Địa lý.</w:t>
      </w:r>
    </w:p>
    <w:p w:rsidR="005A3BF9" w:rsidRPr="005A3BF9" w:rsidRDefault="005A3BF9" w:rsidP="005A3BF9">
      <w:pPr>
        <w:spacing w:before="120" w:line="252" w:lineRule="auto"/>
        <w:ind w:firstLine="720"/>
        <w:jc w:val="both"/>
        <w:rPr>
          <w:spacing w:val="-4"/>
          <w:szCs w:val="26"/>
        </w:rPr>
      </w:pPr>
      <w:r w:rsidRPr="005A3BF9">
        <w:rPr>
          <w:b/>
          <w:color w:val="auto"/>
          <w:spacing w:val="-4"/>
        </w:rPr>
        <w:t>+ Từ 13h00 - 17h00</w:t>
      </w:r>
      <w:r w:rsidRPr="005A3BF9">
        <w:rPr>
          <w:color w:val="auto"/>
          <w:spacing w:val="-4"/>
        </w:rPr>
        <w:t xml:space="preserve"> </w:t>
      </w:r>
      <w:r w:rsidRPr="005A3BF9">
        <w:rPr>
          <w:spacing w:val="-4"/>
        </w:rPr>
        <w:t xml:space="preserve">nhập học sinh viên các ngành: </w:t>
      </w:r>
      <w:r w:rsidRPr="005A3BF9">
        <w:rPr>
          <w:spacing w:val="-4"/>
          <w:szCs w:val="26"/>
        </w:rPr>
        <w:t>Giáo dục Chính trị, Giáo dục Mầm non, Sư phạm Âm nhạc, Sư phạm Khoa học tự nhiên, Sư phạm Lịch sử - Địa lý, Giáo dục Công dân, Giáo dục pháp luật, Sư phạm Tin học và Công nghệ Tiểu học, Giáo dục Thể chất.</w:t>
      </w:r>
    </w:p>
    <w:p w:rsidR="005A3BF9" w:rsidRPr="005A3BF9" w:rsidRDefault="005A3BF9" w:rsidP="005A3BF9">
      <w:pPr>
        <w:spacing w:before="120" w:line="252" w:lineRule="auto"/>
        <w:ind w:firstLine="720"/>
        <w:jc w:val="both"/>
        <w:rPr>
          <w:b/>
          <w:color w:val="FF0000"/>
        </w:rPr>
      </w:pPr>
      <w:r w:rsidRPr="005A3BF9">
        <w:rPr>
          <w:color w:val="FF0000"/>
        </w:rPr>
        <w:t xml:space="preserve">- </w:t>
      </w:r>
      <w:r w:rsidRPr="005A3BF9">
        <w:rPr>
          <w:b/>
          <w:color w:val="FF0000"/>
        </w:rPr>
        <w:t>Ngày 27/8/2025:</w:t>
      </w:r>
    </w:p>
    <w:p w:rsidR="005A3BF9" w:rsidRPr="005A3BF9" w:rsidRDefault="005A3BF9" w:rsidP="005A3BF9">
      <w:pPr>
        <w:spacing w:line="252" w:lineRule="auto"/>
        <w:ind w:firstLine="720"/>
        <w:jc w:val="both"/>
        <w:rPr>
          <w:color w:val="auto"/>
          <w:szCs w:val="26"/>
        </w:rPr>
      </w:pPr>
      <w:r w:rsidRPr="005A3BF9">
        <w:rPr>
          <w:b/>
          <w:color w:val="auto"/>
        </w:rPr>
        <w:t>+ Từ 07h00 - 11h30</w:t>
      </w:r>
      <w:r w:rsidRPr="005A3BF9">
        <w:rPr>
          <w:color w:val="auto"/>
        </w:rPr>
        <w:t xml:space="preserve"> nhập học sinh viên các ngành: </w:t>
      </w:r>
      <w:r w:rsidRPr="005A3BF9">
        <w:rPr>
          <w:color w:val="auto"/>
          <w:szCs w:val="26"/>
        </w:rPr>
        <w:t>Công nghệ sinh học, Công nghệ thông tin, Văn học, Lịch sử (chuyên ngành Quan hệ quốc tế), Địa lý học (chuyên ngành  Địa lý du lịch), Việt Nam học (chuyên ngành Văn hóa du lịch), Văn hóa học.</w:t>
      </w:r>
    </w:p>
    <w:p w:rsidR="005A3BF9" w:rsidRPr="005A3BF9" w:rsidRDefault="005A3BF9" w:rsidP="005A3BF9">
      <w:pPr>
        <w:spacing w:before="120" w:after="120" w:line="252" w:lineRule="auto"/>
        <w:ind w:firstLine="720"/>
        <w:jc w:val="both"/>
        <w:rPr>
          <w:color w:val="auto"/>
          <w:szCs w:val="26"/>
        </w:rPr>
      </w:pPr>
      <w:r w:rsidRPr="005A3BF9">
        <w:rPr>
          <w:b/>
          <w:color w:val="auto"/>
        </w:rPr>
        <w:t>+ Từ 13h00 - 17h00</w:t>
      </w:r>
      <w:r w:rsidRPr="005A3BF9">
        <w:rPr>
          <w:color w:val="auto"/>
        </w:rPr>
        <w:t xml:space="preserve"> nhập học sinh viên các ngành: </w:t>
      </w:r>
      <w:r w:rsidRPr="005A3BF9">
        <w:rPr>
          <w:color w:val="auto"/>
          <w:szCs w:val="26"/>
        </w:rPr>
        <w:t>Hóa Dược, Tâm lý học, Công tác xã hội, Báo chí, Quản lý tài nguyên và môi trường, Vật lý kỹ thuật, Khoa học dữ liệu, Quan hệ công chúng.</w:t>
      </w:r>
    </w:p>
    <w:p w:rsidR="005A3BF9" w:rsidRPr="005A3BF9" w:rsidRDefault="005A3BF9" w:rsidP="005A3BF9">
      <w:pPr>
        <w:spacing w:after="60" w:line="252" w:lineRule="auto"/>
        <w:ind w:firstLine="720"/>
        <w:jc w:val="both"/>
      </w:pPr>
      <w:r w:rsidRPr="005A3BF9">
        <w:rPr>
          <w:b/>
        </w:rPr>
        <w:t>2. Địa điểm:</w:t>
      </w:r>
      <w:r w:rsidRPr="005A3BF9">
        <w:t xml:space="preserve"> </w:t>
      </w:r>
      <w:r w:rsidRPr="005A3BF9">
        <w:rPr>
          <w:bCs/>
        </w:rPr>
        <w:t>Tòa nhà Đoàn kết,</w:t>
      </w:r>
      <w:r w:rsidRPr="005A3BF9">
        <w:t xml:space="preserve"> Trường Đại học Sư phạm - Đại học Đà Nẵng, số 459 Tôn Đức Thắng, Phường Hòa Khánh, Thành phố Đà Nẵng.</w:t>
      </w:r>
    </w:p>
    <w:p w:rsidR="005A3BF9" w:rsidRPr="005A3BF9" w:rsidRDefault="005A3BF9" w:rsidP="005A3BF9">
      <w:pPr>
        <w:spacing w:after="120" w:line="252" w:lineRule="auto"/>
        <w:ind w:firstLine="720"/>
        <w:jc w:val="both"/>
        <w:rPr>
          <w:bCs/>
          <w:color w:val="EE0000"/>
        </w:rPr>
      </w:pPr>
      <w:r w:rsidRPr="005A3BF9">
        <w:rPr>
          <w:b/>
          <w:i/>
          <w:iCs/>
          <w:color w:val="EE0000"/>
        </w:rPr>
        <w:t xml:space="preserve">* Lưu ý: </w:t>
      </w:r>
      <w:r w:rsidRPr="005A3BF9">
        <w:rPr>
          <w:bCs/>
          <w:color w:val="EE0000"/>
        </w:rPr>
        <w:t>sinh viên cần thực hiện xác nhận nhập học trên hệ thống của Bộ GD&amp;ĐT trước khi đến trường làm thủ tục nhập học.</w:t>
      </w:r>
    </w:p>
    <w:p w:rsidR="005A3BF9" w:rsidRPr="005A3BF9" w:rsidRDefault="005A3BF9" w:rsidP="005A3BF9">
      <w:pPr>
        <w:spacing w:line="252" w:lineRule="auto"/>
        <w:ind w:firstLine="720"/>
        <w:jc w:val="both"/>
        <w:rPr>
          <w:b/>
          <w:bCs/>
          <w:color w:val="auto"/>
        </w:rPr>
      </w:pPr>
      <w:r w:rsidRPr="005A3BF9">
        <w:rPr>
          <w:b/>
          <w:bCs/>
          <w:color w:val="auto"/>
        </w:rPr>
        <w:t>II. Hồ sơ nhập học cho tất cả các đối tượng xét tuyển:</w:t>
      </w:r>
    </w:p>
    <w:p w:rsidR="005A3BF9" w:rsidRPr="005A3BF9" w:rsidRDefault="005A3BF9" w:rsidP="005A3BF9">
      <w:pPr>
        <w:tabs>
          <w:tab w:val="left" w:pos="993"/>
        </w:tabs>
        <w:spacing w:line="276" w:lineRule="auto"/>
        <w:ind w:firstLine="720"/>
        <w:jc w:val="both"/>
        <w:rPr>
          <w:szCs w:val="26"/>
        </w:rPr>
      </w:pPr>
      <w:bookmarkStart w:id="0" w:name="_Hlk206406485"/>
      <w:r w:rsidRPr="005A3BF9">
        <w:rPr>
          <w:szCs w:val="26"/>
        </w:rPr>
        <w:t xml:space="preserve">1. Giấy báo trúng tuyển (in trên trang tuyển sinh của Đại học Đà Nẵng </w:t>
      </w:r>
      <w:hyperlink r:id="rId4" w:history="1">
        <w:r w:rsidRPr="005A3BF9">
          <w:rPr>
            <w:rStyle w:val="Hyperlink"/>
            <w:szCs w:val="26"/>
          </w:rPr>
          <w:t>https://ts.udn.vn/</w:t>
        </w:r>
      </w:hyperlink>
      <w:r w:rsidRPr="005A3BF9">
        <w:rPr>
          <w:szCs w:val="26"/>
        </w:rPr>
        <w:t>; Bản chính nhận tại Trường khi nhập học);</w:t>
      </w:r>
    </w:p>
    <w:p w:rsidR="005A3BF9" w:rsidRPr="005A3BF9" w:rsidRDefault="005A3BF9" w:rsidP="005A3BF9">
      <w:pPr>
        <w:spacing w:line="276" w:lineRule="auto"/>
        <w:jc w:val="both"/>
        <w:rPr>
          <w:color w:val="auto"/>
          <w:szCs w:val="26"/>
        </w:rPr>
      </w:pPr>
      <w:r w:rsidRPr="005A3BF9">
        <w:rPr>
          <w:color w:val="auto"/>
          <w:szCs w:val="26"/>
        </w:rPr>
        <w:tab/>
        <w:t xml:space="preserve">2. Bằng tốt nghiệp THPT bản sao công chứng hoặc Bản gốc giấy chứng nhận tốt nghiệp tạm thời đối với thí sinh tốt nghiệp năm 2025; </w:t>
      </w:r>
    </w:p>
    <w:p w:rsidR="005A3BF9" w:rsidRPr="005A3BF9" w:rsidRDefault="005A3BF9" w:rsidP="005A3BF9">
      <w:pPr>
        <w:spacing w:line="276" w:lineRule="auto"/>
        <w:jc w:val="both"/>
        <w:rPr>
          <w:b/>
          <w:color w:val="auto"/>
          <w:szCs w:val="26"/>
        </w:rPr>
      </w:pPr>
      <w:r w:rsidRPr="005A3BF9">
        <w:rPr>
          <w:color w:val="auto"/>
          <w:szCs w:val="26"/>
        </w:rPr>
        <w:tab/>
        <w:t xml:space="preserve">3. </w:t>
      </w:r>
      <w:r w:rsidRPr="005A3BF9">
        <w:rPr>
          <w:bCs/>
          <w:color w:val="auto"/>
          <w:szCs w:val="26"/>
        </w:rPr>
        <w:t>Học bạ THPT bản gốc</w:t>
      </w:r>
      <w:r w:rsidRPr="005A3BF9">
        <w:rPr>
          <w:color w:val="auto"/>
          <w:szCs w:val="26"/>
        </w:rPr>
        <w:t xml:space="preserve"> và</w:t>
      </w:r>
      <w:r w:rsidRPr="005A3BF9">
        <w:rPr>
          <w:bCs/>
          <w:color w:val="auto"/>
          <w:szCs w:val="26"/>
        </w:rPr>
        <w:t xml:space="preserve"> bản sao</w:t>
      </w:r>
      <w:r w:rsidRPr="005A3BF9">
        <w:rPr>
          <w:b/>
          <w:bCs/>
          <w:color w:val="auto"/>
          <w:szCs w:val="26"/>
        </w:rPr>
        <w:t xml:space="preserve"> </w:t>
      </w:r>
      <w:r w:rsidRPr="005A3BF9">
        <w:rPr>
          <w:color w:val="auto"/>
          <w:szCs w:val="26"/>
        </w:rPr>
        <w:t>có công chứng;</w:t>
      </w:r>
    </w:p>
    <w:p w:rsidR="005A3BF9" w:rsidRPr="005A3BF9" w:rsidRDefault="005A3BF9" w:rsidP="005A3BF9">
      <w:pPr>
        <w:spacing w:line="276" w:lineRule="auto"/>
        <w:jc w:val="both"/>
        <w:rPr>
          <w:color w:val="auto"/>
          <w:szCs w:val="26"/>
        </w:rPr>
      </w:pPr>
      <w:r w:rsidRPr="005A3BF9">
        <w:rPr>
          <w:color w:val="auto"/>
          <w:szCs w:val="26"/>
        </w:rPr>
        <w:tab/>
        <w:t xml:space="preserve">4. </w:t>
      </w:r>
      <w:r w:rsidRPr="005A3BF9">
        <w:rPr>
          <w:bCs/>
          <w:color w:val="auto"/>
          <w:szCs w:val="26"/>
        </w:rPr>
        <w:t>Giấy khai sinh bản sao</w:t>
      </w:r>
      <w:r w:rsidRPr="005A3BF9">
        <w:rPr>
          <w:color w:val="auto"/>
          <w:szCs w:val="26"/>
        </w:rPr>
        <w:t xml:space="preserve"> hoặc bản công chứng;</w:t>
      </w:r>
    </w:p>
    <w:p w:rsidR="005A3BF9" w:rsidRPr="005A3BF9" w:rsidRDefault="005A3BF9" w:rsidP="005A3BF9">
      <w:pPr>
        <w:spacing w:line="276" w:lineRule="auto"/>
        <w:jc w:val="both"/>
        <w:rPr>
          <w:color w:val="auto"/>
          <w:szCs w:val="26"/>
        </w:rPr>
      </w:pPr>
      <w:r w:rsidRPr="005A3BF9">
        <w:rPr>
          <w:color w:val="auto"/>
          <w:szCs w:val="26"/>
        </w:rPr>
        <w:tab/>
        <w:t xml:space="preserve">5. </w:t>
      </w:r>
      <w:r w:rsidRPr="005A3BF9">
        <w:rPr>
          <w:bCs/>
          <w:color w:val="auto"/>
          <w:szCs w:val="26"/>
        </w:rPr>
        <w:t xml:space="preserve">Căn cước công dân: 02 </w:t>
      </w:r>
      <w:r w:rsidRPr="005A3BF9">
        <w:rPr>
          <w:color w:val="auto"/>
          <w:szCs w:val="26"/>
        </w:rPr>
        <w:t xml:space="preserve">bản sao có công chứng; </w:t>
      </w:r>
    </w:p>
    <w:p w:rsidR="005A3BF9" w:rsidRPr="005A3BF9" w:rsidRDefault="005A3BF9" w:rsidP="005A3BF9">
      <w:pPr>
        <w:spacing w:line="276" w:lineRule="auto"/>
        <w:jc w:val="both"/>
        <w:rPr>
          <w:color w:val="auto"/>
          <w:szCs w:val="26"/>
        </w:rPr>
      </w:pPr>
      <w:r w:rsidRPr="005A3BF9">
        <w:rPr>
          <w:color w:val="auto"/>
          <w:szCs w:val="26"/>
        </w:rPr>
        <w:tab/>
        <w:t>6. 04 ảnh thẻ 3x4 (ghi rõ họ tên sau ảnh);</w:t>
      </w:r>
    </w:p>
    <w:p w:rsidR="005A3BF9" w:rsidRPr="005A3BF9" w:rsidRDefault="005A3BF9" w:rsidP="005A3BF9">
      <w:pPr>
        <w:spacing w:line="276" w:lineRule="auto"/>
        <w:jc w:val="both"/>
        <w:rPr>
          <w:szCs w:val="26"/>
        </w:rPr>
      </w:pPr>
      <w:r w:rsidRPr="005A3BF9">
        <w:rPr>
          <w:color w:val="auto"/>
          <w:szCs w:val="26"/>
        </w:rPr>
        <w:tab/>
        <w:t xml:space="preserve">7. Giấy chứng nhận đăng ký Nghĩa vụ quân sự bản gốc (đối với sinh </w:t>
      </w:r>
      <w:r w:rsidRPr="005A3BF9">
        <w:rPr>
          <w:szCs w:val="26"/>
        </w:rPr>
        <w:t xml:space="preserve">viên Nam); </w:t>
      </w:r>
    </w:p>
    <w:p w:rsidR="005A3BF9" w:rsidRPr="005A3BF9" w:rsidRDefault="005A3BF9" w:rsidP="005A3BF9">
      <w:pPr>
        <w:spacing w:line="276" w:lineRule="auto"/>
        <w:jc w:val="both"/>
        <w:rPr>
          <w:spacing w:val="-6"/>
          <w:szCs w:val="26"/>
        </w:rPr>
      </w:pPr>
      <w:r w:rsidRPr="005A3BF9">
        <w:rPr>
          <w:szCs w:val="26"/>
        </w:rPr>
        <w:tab/>
      </w:r>
      <w:r w:rsidRPr="005A3BF9">
        <w:rPr>
          <w:spacing w:val="-6"/>
          <w:szCs w:val="26"/>
        </w:rPr>
        <w:t>8. Giấy tờ minh chứng ưu tiên (đối với sinh viên thuộc đối tượng ưu tiên tuyển sinh);</w:t>
      </w:r>
    </w:p>
    <w:p w:rsidR="005A3BF9" w:rsidRPr="005A3BF9" w:rsidRDefault="005A3BF9" w:rsidP="005A3BF9">
      <w:pPr>
        <w:spacing w:line="276" w:lineRule="auto"/>
        <w:jc w:val="both"/>
        <w:rPr>
          <w:color w:val="auto"/>
          <w:szCs w:val="26"/>
        </w:rPr>
      </w:pPr>
      <w:r w:rsidRPr="005A3BF9">
        <w:rPr>
          <w:szCs w:val="26"/>
        </w:rPr>
        <w:tab/>
      </w:r>
      <w:r w:rsidRPr="005A3BF9">
        <w:rPr>
          <w:color w:val="auto"/>
          <w:szCs w:val="26"/>
        </w:rPr>
        <w:t>9. Giấy chứng nhận kết quả thi tốt nghiệp THPT năm 2025 bản photo;</w:t>
      </w:r>
    </w:p>
    <w:bookmarkEnd w:id="0"/>
    <w:p w:rsidR="005A3BF9" w:rsidRPr="005A3BF9" w:rsidRDefault="005A3BF9" w:rsidP="005A3BF9">
      <w:pPr>
        <w:spacing w:line="252" w:lineRule="auto"/>
        <w:jc w:val="both"/>
        <w:rPr>
          <w:spacing w:val="-2"/>
          <w:szCs w:val="26"/>
        </w:rPr>
      </w:pPr>
      <w:r w:rsidRPr="005A3BF9">
        <w:rPr>
          <w:szCs w:val="26"/>
        </w:rPr>
        <w:tab/>
      </w:r>
      <w:r w:rsidRPr="005A3BF9">
        <w:rPr>
          <w:spacing w:val="-2"/>
          <w:szCs w:val="26"/>
        </w:rPr>
        <w:t>10. Sổ Đoàn viên (sinh viên giữ lại để làm thủ tục chuyển sinh hoạt sau khi nhập học).</w:t>
      </w:r>
    </w:p>
    <w:p w:rsidR="005A3BF9" w:rsidRPr="005A3BF9" w:rsidRDefault="005A3BF9" w:rsidP="005A3BF9">
      <w:pPr>
        <w:spacing w:line="252" w:lineRule="auto"/>
        <w:ind w:firstLine="720"/>
        <w:jc w:val="both"/>
        <w:rPr>
          <w:b/>
          <w:bCs/>
          <w:i/>
          <w:iCs/>
        </w:rPr>
      </w:pPr>
      <w:r w:rsidRPr="005A3BF9">
        <w:rPr>
          <w:b/>
          <w:bCs/>
          <w:i/>
          <w:iCs/>
          <w:color w:val="FF0000"/>
        </w:rPr>
        <w:t>* Lưu ý:</w:t>
      </w:r>
    </w:p>
    <w:p w:rsidR="005A3BF9" w:rsidRPr="005A3BF9" w:rsidRDefault="005A3BF9" w:rsidP="005A3BF9">
      <w:pPr>
        <w:spacing w:line="252" w:lineRule="auto"/>
        <w:ind w:firstLine="720"/>
        <w:jc w:val="both"/>
        <w:rPr>
          <w:bCs/>
        </w:rPr>
      </w:pPr>
      <w:r w:rsidRPr="005A3BF9">
        <w:rPr>
          <w:bCs/>
        </w:rPr>
        <w:t>- Túi đựng hồ sơ sẽ được Nhà trường chuẩn bị cho từng sinh viên.</w:t>
      </w:r>
    </w:p>
    <w:p w:rsidR="005A3BF9" w:rsidRPr="005A3BF9" w:rsidRDefault="005A3BF9" w:rsidP="005A3BF9">
      <w:pPr>
        <w:spacing w:after="120" w:line="252" w:lineRule="auto"/>
        <w:ind w:firstLine="720"/>
        <w:jc w:val="both"/>
        <w:rPr>
          <w:bCs/>
        </w:rPr>
      </w:pPr>
      <w:r w:rsidRPr="005A3BF9">
        <w:rPr>
          <w:bCs/>
        </w:rPr>
        <w:t xml:space="preserve">- Sinh viên cần dự phòng thêm </w:t>
      </w:r>
      <w:r w:rsidRPr="005A3BF9">
        <w:rPr>
          <w:b/>
        </w:rPr>
        <w:t>03</w:t>
      </w:r>
      <w:r w:rsidRPr="005A3BF9">
        <w:rPr>
          <w:bCs/>
        </w:rPr>
        <w:t xml:space="preserve"> bản đối với các loại giấy tờ từ mục</w:t>
      </w:r>
      <w:r w:rsidRPr="005A3BF9">
        <w:rPr>
          <w:b/>
        </w:rPr>
        <w:t xml:space="preserve"> 2 </w:t>
      </w:r>
      <w:r w:rsidRPr="005A3BF9">
        <w:rPr>
          <w:bCs/>
        </w:rPr>
        <w:t>đến mục</w:t>
      </w:r>
      <w:r w:rsidRPr="005A3BF9">
        <w:rPr>
          <w:b/>
        </w:rPr>
        <w:t xml:space="preserve"> 5</w:t>
      </w:r>
      <w:r w:rsidRPr="005A3BF9">
        <w:rPr>
          <w:bCs/>
        </w:rPr>
        <w:t xml:space="preserve"> để làm thẻ sinh viên, chế độ chính sách, hồ sơ học bổng và để bổ sung khi cần.</w:t>
      </w:r>
    </w:p>
    <w:p w:rsidR="005A3BF9" w:rsidRPr="005A3BF9" w:rsidRDefault="005A3BF9" w:rsidP="005A3BF9">
      <w:pPr>
        <w:spacing w:after="120" w:line="252" w:lineRule="auto"/>
        <w:ind w:firstLine="720"/>
        <w:jc w:val="both"/>
        <w:rPr>
          <w:bCs/>
        </w:rPr>
      </w:pPr>
      <w:r w:rsidRPr="005A3BF9">
        <w:rPr>
          <w:bCs/>
        </w:rPr>
        <w:t>- Nhà trường sẽ giải quyết các thủ tục rút, mượn, trả hồ sơ sau ngày 30/9/2025 (sau thời gian nhập học và hậu kiểm hồ sơ).</w:t>
      </w:r>
    </w:p>
    <w:p w:rsidR="005A3BF9" w:rsidRPr="005A3BF9" w:rsidRDefault="005A3BF9" w:rsidP="005A3BF9">
      <w:pPr>
        <w:spacing w:after="120" w:line="252" w:lineRule="auto"/>
        <w:ind w:firstLine="720"/>
        <w:jc w:val="both"/>
        <w:rPr>
          <w:b/>
          <w:bCs/>
          <w:color w:val="auto"/>
        </w:rPr>
      </w:pPr>
      <w:r w:rsidRPr="005A3BF9">
        <w:rPr>
          <w:b/>
          <w:bCs/>
          <w:color w:val="auto"/>
        </w:rPr>
        <w:t>III. Học phí và các khoản thu khác</w:t>
      </w:r>
    </w:p>
    <w:tbl>
      <w:tblPr>
        <w:tblStyle w:val="TableGrid"/>
        <w:tblW w:w="9351" w:type="dxa"/>
        <w:tblInd w:w="137" w:type="dxa"/>
        <w:tblLook w:val="04A0" w:firstRow="1" w:lastRow="0" w:firstColumn="1" w:lastColumn="0" w:noHBand="0" w:noVBand="1"/>
      </w:tblPr>
      <w:tblGrid>
        <w:gridCol w:w="708"/>
        <w:gridCol w:w="3108"/>
        <w:gridCol w:w="1848"/>
        <w:gridCol w:w="3687"/>
      </w:tblGrid>
      <w:tr w:rsidR="005A3BF9" w:rsidRPr="005A3BF9" w:rsidTr="00E23067">
        <w:trPr>
          <w:trHeight w:val="336"/>
        </w:trPr>
        <w:tc>
          <w:tcPr>
            <w:tcW w:w="9351" w:type="dxa"/>
            <w:gridSpan w:val="4"/>
          </w:tcPr>
          <w:p w:rsidR="005A3BF9" w:rsidRPr="005A3BF9" w:rsidRDefault="005A3BF9" w:rsidP="00E23067">
            <w:pPr>
              <w:spacing w:after="20"/>
              <w:jc w:val="both"/>
              <w:rPr>
                <w:b/>
                <w:bCs/>
              </w:rPr>
            </w:pPr>
          </w:p>
        </w:tc>
      </w:tr>
      <w:tr w:rsidR="005A3BF9" w:rsidRPr="005A3BF9" w:rsidTr="00E23067">
        <w:trPr>
          <w:trHeight w:val="331"/>
        </w:trPr>
        <w:tc>
          <w:tcPr>
            <w:tcW w:w="708" w:type="dxa"/>
            <w:vAlign w:val="center"/>
          </w:tcPr>
          <w:p w:rsidR="005A3BF9" w:rsidRPr="005A3BF9" w:rsidRDefault="005A3BF9" w:rsidP="00E23067">
            <w:pPr>
              <w:spacing w:after="20"/>
              <w:jc w:val="center"/>
              <w:rPr>
                <w:b/>
                <w:bCs/>
              </w:rPr>
            </w:pPr>
            <w:r w:rsidRPr="005A3BF9">
              <w:rPr>
                <w:b/>
                <w:bCs/>
              </w:rPr>
              <w:t>STT</w:t>
            </w:r>
          </w:p>
        </w:tc>
        <w:tc>
          <w:tcPr>
            <w:tcW w:w="3108" w:type="dxa"/>
            <w:vAlign w:val="center"/>
          </w:tcPr>
          <w:p w:rsidR="005A3BF9" w:rsidRPr="005A3BF9" w:rsidRDefault="005A3BF9" w:rsidP="00E23067">
            <w:pPr>
              <w:spacing w:after="20"/>
              <w:jc w:val="center"/>
              <w:rPr>
                <w:b/>
                <w:bCs/>
              </w:rPr>
            </w:pPr>
            <w:r w:rsidRPr="005A3BF9">
              <w:rPr>
                <w:b/>
                <w:bCs/>
              </w:rPr>
              <w:t>Khoản thu</w:t>
            </w:r>
          </w:p>
        </w:tc>
        <w:tc>
          <w:tcPr>
            <w:tcW w:w="1848" w:type="dxa"/>
            <w:vAlign w:val="center"/>
          </w:tcPr>
          <w:p w:rsidR="005A3BF9" w:rsidRPr="005A3BF9" w:rsidRDefault="005A3BF9" w:rsidP="00E23067">
            <w:pPr>
              <w:spacing w:after="20"/>
              <w:jc w:val="center"/>
              <w:rPr>
                <w:b/>
                <w:bCs/>
              </w:rPr>
            </w:pPr>
            <w:r w:rsidRPr="005A3BF9">
              <w:rPr>
                <w:b/>
                <w:bCs/>
              </w:rPr>
              <w:t>Số tiền</w:t>
            </w:r>
          </w:p>
        </w:tc>
        <w:tc>
          <w:tcPr>
            <w:tcW w:w="3687" w:type="dxa"/>
            <w:vAlign w:val="center"/>
          </w:tcPr>
          <w:p w:rsidR="005A3BF9" w:rsidRPr="005A3BF9" w:rsidRDefault="005A3BF9" w:rsidP="00E23067">
            <w:pPr>
              <w:spacing w:after="20"/>
              <w:jc w:val="center"/>
              <w:rPr>
                <w:b/>
                <w:bCs/>
              </w:rPr>
            </w:pPr>
            <w:r w:rsidRPr="005A3BF9">
              <w:rPr>
                <w:b/>
                <w:bCs/>
              </w:rPr>
              <w:t>Ghi chú</w:t>
            </w:r>
          </w:p>
        </w:tc>
      </w:tr>
      <w:tr w:rsidR="005A3BF9" w:rsidRPr="005A3BF9" w:rsidTr="00E23067">
        <w:trPr>
          <w:trHeight w:val="331"/>
        </w:trPr>
        <w:tc>
          <w:tcPr>
            <w:tcW w:w="9351" w:type="dxa"/>
            <w:gridSpan w:val="4"/>
            <w:vAlign w:val="center"/>
          </w:tcPr>
          <w:p w:rsidR="005A3BF9" w:rsidRPr="005A3BF9" w:rsidRDefault="005A3BF9" w:rsidP="00E23067">
            <w:pPr>
              <w:spacing w:after="20"/>
              <w:jc w:val="both"/>
              <w:rPr>
                <w:rFonts w:eastAsia="Times New Roman"/>
                <w:szCs w:val="26"/>
              </w:rPr>
            </w:pPr>
            <w:r w:rsidRPr="005A3BF9">
              <w:rPr>
                <w:rFonts w:eastAsia="Times New Roman"/>
                <w:b/>
                <w:bCs/>
                <w:szCs w:val="26"/>
              </w:rPr>
              <w:t>1. Các ngành Sư phạm (thuộc khối ngành I)</w:t>
            </w:r>
          </w:p>
        </w:tc>
      </w:tr>
      <w:tr w:rsidR="005A3BF9" w:rsidRPr="005A3BF9" w:rsidTr="00E23067">
        <w:trPr>
          <w:trHeight w:val="331"/>
        </w:trPr>
        <w:tc>
          <w:tcPr>
            <w:tcW w:w="708" w:type="dxa"/>
            <w:vAlign w:val="center"/>
          </w:tcPr>
          <w:p w:rsidR="005A3BF9" w:rsidRPr="005A3BF9" w:rsidRDefault="005A3BF9" w:rsidP="00E23067">
            <w:pPr>
              <w:spacing w:after="20"/>
              <w:jc w:val="center"/>
            </w:pPr>
            <w:r w:rsidRPr="005A3BF9">
              <w:lastRenderedPageBreak/>
              <w:t>1.1</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Bảo hiểm y tế</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789.750đ</w:t>
            </w:r>
          </w:p>
        </w:tc>
        <w:tc>
          <w:tcPr>
            <w:tcW w:w="3687"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Thời hạn sử dụng thẻ: từ ngày 01/10/2025 - 31/12/2026</w:t>
            </w:r>
          </w:p>
        </w:tc>
      </w:tr>
      <w:tr w:rsidR="005A3BF9" w:rsidRPr="005A3BF9" w:rsidTr="00E23067">
        <w:trPr>
          <w:trHeight w:val="336"/>
        </w:trPr>
        <w:tc>
          <w:tcPr>
            <w:tcW w:w="708" w:type="dxa"/>
            <w:vAlign w:val="center"/>
          </w:tcPr>
          <w:p w:rsidR="005A3BF9" w:rsidRPr="005A3BF9" w:rsidRDefault="005A3BF9" w:rsidP="00E23067">
            <w:pPr>
              <w:spacing w:after="20"/>
              <w:jc w:val="center"/>
            </w:pPr>
            <w:r w:rsidRPr="005A3BF9">
              <w:t>1.2</w:t>
            </w:r>
          </w:p>
        </w:tc>
        <w:tc>
          <w:tcPr>
            <w:tcW w:w="3108" w:type="dxa"/>
            <w:vAlign w:val="center"/>
          </w:tcPr>
          <w:p w:rsidR="005A3BF9" w:rsidRPr="005A3BF9" w:rsidRDefault="005A3BF9" w:rsidP="00E23067">
            <w:pPr>
              <w:spacing w:after="20"/>
              <w:jc w:val="both"/>
              <w:rPr>
                <w:b/>
                <w:bCs/>
              </w:rPr>
            </w:pPr>
            <w:r w:rsidRPr="005A3BF9">
              <w:rPr>
                <w:rFonts w:eastAsia="Times New Roman"/>
                <w:szCs w:val="26"/>
              </w:rPr>
              <w:t>BHTT</w:t>
            </w:r>
          </w:p>
        </w:tc>
        <w:tc>
          <w:tcPr>
            <w:tcW w:w="1848" w:type="dxa"/>
            <w:vAlign w:val="center"/>
          </w:tcPr>
          <w:p w:rsidR="005A3BF9" w:rsidRPr="005A3BF9" w:rsidRDefault="005A3BF9" w:rsidP="00E23067">
            <w:pPr>
              <w:spacing w:after="20"/>
              <w:jc w:val="both"/>
              <w:rPr>
                <w:b/>
                <w:bCs/>
              </w:rPr>
            </w:pPr>
            <w:r w:rsidRPr="005A3BF9">
              <w:rPr>
                <w:rFonts w:eastAsia="Times New Roman"/>
                <w:szCs w:val="26"/>
              </w:rPr>
              <w:t>120.000đ</w:t>
            </w:r>
          </w:p>
        </w:tc>
        <w:tc>
          <w:tcPr>
            <w:tcW w:w="3687" w:type="dxa"/>
          </w:tcPr>
          <w:p w:rsidR="005A3BF9" w:rsidRPr="005A3BF9" w:rsidRDefault="005A3BF9" w:rsidP="00E23067">
            <w:pPr>
              <w:spacing w:after="20"/>
              <w:jc w:val="both"/>
              <w:rPr>
                <w:bCs/>
              </w:rPr>
            </w:pPr>
            <w:r w:rsidRPr="005A3BF9">
              <w:rPr>
                <w:bCs/>
              </w:rPr>
              <w:t>Không bắt buộc</w:t>
            </w:r>
          </w:p>
        </w:tc>
      </w:tr>
      <w:tr w:rsidR="005A3BF9" w:rsidRPr="005A3BF9" w:rsidTr="00E23067">
        <w:trPr>
          <w:trHeight w:val="120"/>
        </w:trPr>
        <w:tc>
          <w:tcPr>
            <w:tcW w:w="708" w:type="dxa"/>
            <w:vAlign w:val="center"/>
          </w:tcPr>
          <w:p w:rsidR="005A3BF9" w:rsidRPr="005A3BF9" w:rsidRDefault="005A3BF9" w:rsidP="00E23067">
            <w:pPr>
              <w:spacing w:after="20"/>
              <w:jc w:val="center"/>
            </w:pPr>
            <w:r w:rsidRPr="005A3BF9">
              <w:t>1.3</w:t>
            </w:r>
          </w:p>
        </w:tc>
        <w:tc>
          <w:tcPr>
            <w:tcW w:w="3108" w:type="dxa"/>
            <w:vAlign w:val="center"/>
          </w:tcPr>
          <w:p w:rsidR="005A3BF9" w:rsidRPr="005A3BF9" w:rsidRDefault="005A3BF9" w:rsidP="00E23067">
            <w:pPr>
              <w:spacing w:after="20"/>
              <w:jc w:val="both"/>
              <w:rPr>
                <w:b/>
                <w:bCs/>
              </w:rPr>
            </w:pPr>
            <w:r w:rsidRPr="005A3BF9">
              <w:rPr>
                <w:rFonts w:eastAsia="Times New Roman"/>
                <w:szCs w:val="26"/>
              </w:rPr>
              <w:t>Phí khám sức khỏe đầu năm</w:t>
            </w:r>
          </w:p>
        </w:tc>
        <w:tc>
          <w:tcPr>
            <w:tcW w:w="1848" w:type="dxa"/>
            <w:vAlign w:val="center"/>
          </w:tcPr>
          <w:p w:rsidR="005A3BF9" w:rsidRPr="005A3BF9" w:rsidRDefault="005A3BF9" w:rsidP="00E23067">
            <w:pPr>
              <w:spacing w:after="20"/>
              <w:jc w:val="both"/>
              <w:rPr>
                <w:b/>
                <w:bCs/>
              </w:rPr>
            </w:pPr>
            <w:r w:rsidRPr="005A3BF9">
              <w:rPr>
                <w:rFonts w:eastAsia="Times New Roman"/>
                <w:szCs w:val="26"/>
              </w:rPr>
              <w:t>90.000đ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3816" w:type="dxa"/>
            <w:gridSpan w:val="2"/>
          </w:tcPr>
          <w:p w:rsidR="005A3BF9" w:rsidRPr="005A3BF9" w:rsidRDefault="005A3BF9" w:rsidP="00E23067">
            <w:pPr>
              <w:spacing w:after="20"/>
              <w:jc w:val="both"/>
              <w:rPr>
                <w:rFonts w:eastAsia="Times New Roman"/>
                <w:szCs w:val="26"/>
              </w:rPr>
            </w:pPr>
            <w:r w:rsidRPr="005A3BF9">
              <w:rPr>
                <w:rFonts w:eastAsia="Times New Roman"/>
                <w:b/>
                <w:bCs/>
                <w:szCs w:val="26"/>
              </w:rPr>
              <w:t>Tổng cộng</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b/>
                <w:bCs/>
                <w:szCs w:val="26"/>
              </w:rPr>
              <w:t>999.750đ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9351" w:type="dxa"/>
            <w:gridSpan w:val="4"/>
            <w:vAlign w:val="center"/>
          </w:tcPr>
          <w:p w:rsidR="005A3BF9" w:rsidRPr="005A3BF9" w:rsidRDefault="005A3BF9" w:rsidP="00E23067">
            <w:pPr>
              <w:spacing w:after="20"/>
              <w:jc w:val="both"/>
              <w:rPr>
                <w:b/>
                <w:bCs/>
              </w:rPr>
            </w:pPr>
            <w:r w:rsidRPr="005A3BF9">
              <w:rPr>
                <w:rFonts w:eastAsia="Times New Roman"/>
                <w:b/>
                <w:bCs/>
                <w:szCs w:val="26"/>
              </w:rPr>
              <w:t>2. Các ngành:  Khoa học dữ liệu; Năng lượng tái tạo và kỹ thuật hạt nhân (thuộc khối ngành V)</w:t>
            </w:r>
          </w:p>
        </w:tc>
      </w:tr>
      <w:tr w:rsidR="005A3BF9" w:rsidRPr="005A3BF9" w:rsidTr="00E23067">
        <w:trPr>
          <w:trHeight w:val="182"/>
        </w:trPr>
        <w:tc>
          <w:tcPr>
            <w:tcW w:w="708" w:type="dxa"/>
          </w:tcPr>
          <w:p w:rsidR="005A3BF9" w:rsidRPr="005A3BF9" w:rsidRDefault="005A3BF9" w:rsidP="00E23067">
            <w:pPr>
              <w:spacing w:after="20"/>
              <w:jc w:val="center"/>
            </w:pPr>
            <w:r w:rsidRPr="005A3BF9">
              <w:t>2.1</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Học phí tín chỉ văn hóa</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8.100.000đ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Tạm thu 15 tín chỉ x 540.000đ/tc</w:t>
            </w:r>
          </w:p>
        </w:tc>
      </w:tr>
      <w:tr w:rsidR="005A3BF9" w:rsidRPr="005A3BF9" w:rsidTr="00E23067">
        <w:trPr>
          <w:trHeight w:val="182"/>
        </w:trPr>
        <w:tc>
          <w:tcPr>
            <w:tcW w:w="708" w:type="dxa"/>
          </w:tcPr>
          <w:p w:rsidR="005A3BF9" w:rsidRPr="005A3BF9" w:rsidRDefault="005A3BF9" w:rsidP="00E23067">
            <w:pPr>
              <w:spacing w:after="20"/>
              <w:jc w:val="center"/>
            </w:pPr>
            <w:r w:rsidRPr="005A3BF9">
              <w:t>2.2</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Học phí GDTC</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540.000đ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1 tín chỉ</w:t>
            </w:r>
          </w:p>
        </w:tc>
      </w:tr>
      <w:tr w:rsidR="005A3BF9" w:rsidRPr="005A3BF9" w:rsidTr="00E23067">
        <w:trPr>
          <w:trHeight w:val="182"/>
        </w:trPr>
        <w:tc>
          <w:tcPr>
            <w:tcW w:w="708" w:type="dxa"/>
          </w:tcPr>
          <w:p w:rsidR="005A3BF9" w:rsidRPr="005A3BF9" w:rsidRDefault="005A3BF9" w:rsidP="00E23067">
            <w:pPr>
              <w:spacing w:after="20"/>
              <w:jc w:val="center"/>
            </w:pPr>
            <w:r w:rsidRPr="005A3BF9">
              <w:t>2.3</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GDQP</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1.600.000đ</w:t>
            </w:r>
          </w:p>
        </w:tc>
        <w:tc>
          <w:tcPr>
            <w:tcW w:w="3687" w:type="dxa"/>
            <w:vAlign w:val="center"/>
          </w:tcPr>
          <w:p w:rsidR="005A3BF9" w:rsidRPr="005A3BF9" w:rsidRDefault="005A3BF9" w:rsidP="00E23067">
            <w:pPr>
              <w:spacing w:after="20"/>
              <w:jc w:val="both"/>
              <w:rPr>
                <w:b/>
                <w:bCs/>
              </w:rPr>
            </w:pPr>
          </w:p>
        </w:tc>
      </w:tr>
      <w:tr w:rsidR="005A3BF9" w:rsidRPr="005A3BF9" w:rsidTr="00E23067">
        <w:trPr>
          <w:trHeight w:val="182"/>
        </w:trPr>
        <w:tc>
          <w:tcPr>
            <w:tcW w:w="708" w:type="dxa"/>
            <w:vAlign w:val="center"/>
          </w:tcPr>
          <w:p w:rsidR="005A3BF9" w:rsidRPr="005A3BF9" w:rsidRDefault="005A3BF9" w:rsidP="00E23067">
            <w:pPr>
              <w:spacing w:after="20"/>
              <w:jc w:val="center"/>
            </w:pPr>
            <w:r w:rsidRPr="005A3BF9">
              <w:t>2.4</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Bảo hiểm y tế</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789.750đ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Thời hạn sử dụng thẻ: từ ngày 01/10/2025 - 31/12/2026</w:t>
            </w:r>
          </w:p>
        </w:tc>
      </w:tr>
      <w:tr w:rsidR="005A3BF9" w:rsidRPr="005A3BF9" w:rsidTr="00E23067">
        <w:trPr>
          <w:trHeight w:val="182"/>
        </w:trPr>
        <w:tc>
          <w:tcPr>
            <w:tcW w:w="708" w:type="dxa"/>
          </w:tcPr>
          <w:p w:rsidR="005A3BF9" w:rsidRPr="005A3BF9" w:rsidRDefault="005A3BF9" w:rsidP="00E23067">
            <w:pPr>
              <w:spacing w:after="20"/>
              <w:jc w:val="center"/>
            </w:pPr>
            <w:r w:rsidRPr="005A3BF9">
              <w:t>2.5</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BHTT</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120.000đ</w:t>
            </w:r>
          </w:p>
        </w:tc>
        <w:tc>
          <w:tcPr>
            <w:tcW w:w="3687" w:type="dxa"/>
          </w:tcPr>
          <w:p w:rsidR="005A3BF9" w:rsidRPr="005A3BF9" w:rsidRDefault="005A3BF9" w:rsidP="00E23067">
            <w:pPr>
              <w:spacing w:after="20"/>
              <w:jc w:val="both"/>
              <w:rPr>
                <w:b/>
                <w:bCs/>
              </w:rPr>
            </w:pPr>
            <w:r w:rsidRPr="005A3BF9">
              <w:rPr>
                <w:bCs/>
              </w:rPr>
              <w:t>Không bắt buộc</w:t>
            </w:r>
          </w:p>
        </w:tc>
      </w:tr>
      <w:tr w:rsidR="005A3BF9" w:rsidRPr="005A3BF9" w:rsidTr="00E23067">
        <w:trPr>
          <w:trHeight w:val="182"/>
        </w:trPr>
        <w:tc>
          <w:tcPr>
            <w:tcW w:w="708" w:type="dxa"/>
          </w:tcPr>
          <w:p w:rsidR="005A3BF9" w:rsidRPr="005A3BF9" w:rsidRDefault="005A3BF9" w:rsidP="00E23067">
            <w:pPr>
              <w:spacing w:after="20"/>
              <w:jc w:val="center"/>
            </w:pPr>
            <w:r w:rsidRPr="005A3BF9">
              <w:t>2.6</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Phí khám sức khỏe đầu năm</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90.000đ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3816" w:type="dxa"/>
            <w:gridSpan w:val="2"/>
          </w:tcPr>
          <w:p w:rsidR="005A3BF9" w:rsidRPr="005A3BF9" w:rsidRDefault="005A3BF9" w:rsidP="00E23067">
            <w:pPr>
              <w:spacing w:after="20"/>
              <w:jc w:val="both"/>
              <w:rPr>
                <w:rFonts w:eastAsia="Times New Roman"/>
                <w:b/>
                <w:bCs/>
                <w:szCs w:val="26"/>
              </w:rPr>
            </w:pPr>
            <w:r w:rsidRPr="005A3BF9">
              <w:rPr>
                <w:rFonts w:eastAsia="Times New Roman"/>
                <w:b/>
                <w:bCs/>
                <w:szCs w:val="26"/>
              </w:rPr>
              <w:t>Tổng cộng</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b/>
                <w:bCs/>
                <w:szCs w:val="26"/>
              </w:rPr>
              <w:t>11.239.750đ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9351" w:type="dxa"/>
            <w:gridSpan w:val="4"/>
          </w:tcPr>
          <w:p w:rsidR="005A3BF9" w:rsidRPr="005A3BF9" w:rsidRDefault="005A3BF9" w:rsidP="00E23067">
            <w:pPr>
              <w:spacing w:after="20"/>
              <w:jc w:val="both"/>
              <w:rPr>
                <w:b/>
                <w:bCs/>
              </w:rPr>
            </w:pPr>
            <w:r w:rsidRPr="005A3BF9">
              <w:rPr>
                <w:rFonts w:eastAsia="Times New Roman"/>
                <w:b/>
                <w:bCs/>
                <w:szCs w:val="26"/>
              </w:rPr>
              <w:t>3. Các ngành: Văn học; Quan hệ công chúng; Lịch sử (thuộc khối ngành VII)</w:t>
            </w:r>
          </w:p>
        </w:tc>
      </w:tr>
      <w:tr w:rsidR="005A3BF9" w:rsidRPr="005A3BF9" w:rsidTr="00E23067">
        <w:trPr>
          <w:trHeight w:val="182"/>
        </w:trPr>
        <w:tc>
          <w:tcPr>
            <w:tcW w:w="708" w:type="dxa"/>
          </w:tcPr>
          <w:p w:rsidR="005A3BF9" w:rsidRPr="005A3BF9" w:rsidRDefault="005A3BF9" w:rsidP="00E23067">
            <w:pPr>
              <w:spacing w:after="20"/>
              <w:jc w:val="center"/>
            </w:pPr>
            <w:r w:rsidRPr="005A3BF9">
              <w:t>3.1</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Học phí tín chỉ văn hóa</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7.380.000đ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Tạm thu 15 tín chỉ x 492.000đ/tc</w:t>
            </w:r>
          </w:p>
        </w:tc>
      </w:tr>
      <w:tr w:rsidR="005A3BF9" w:rsidRPr="005A3BF9" w:rsidTr="00E23067">
        <w:trPr>
          <w:trHeight w:val="182"/>
        </w:trPr>
        <w:tc>
          <w:tcPr>
            <w:tcW w:w="708" w:type="dxa"/>
          </w:tcPr>
          <w:p w:rsidR="005A3BF9" w:rsidRPr="005A3BF9" w:rsidRDefault="005A3BF9" w:rsidP="00E23067">
            <w:pPr>
              <w:spacing w:after="20"/>
              <w:jc w:val="center"/>
            </w:pPr>
            <w:r w:rsidRPr="005A3BF9">
              <w:t>3.2</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Học phí GDTC</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492.000đ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1 tín chỉ</w:t>
            </w:r>
          </w:p>
        </w:tc>
      </w:tr>
      <w:tr w:rsidR="005A3BF9" w:rsidRPr="005A3BF9" w:rsidTr="00E23067">
        <w:trPr>
          <w:trHeight w:val="182"/>
        </w:trPr>
        <w:tc>
          <w:tcPr>
            <w:tcW w:w="708" w:type="dxa"/>
          </w:tcPr>
          <w:p w:rsidR="005A3BF9" w:rsidRPr="005A3BF9" w:rsidRDefault="005A3BF9" w:rsidP="00E23067">
            <w:pPr>
              <w:spacing w:after="20"/>
              <w:jc w:val="center"/>
            </w:pPr>
            <w:r w:rsidRPr="005A3BF9">
              <w:t>3.3</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GDQP</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1.600.000đ</w:t>
            </w:r>
          </w:p>
        </w:tc>
        <w:tc>
          <w:tcPr>
            <w:tcW w:w="3687" w:type="dxa"/>
            <w:vAlign w:val="center"/>
          </w:tcPr>
          <w:p w:rsidR="005A3BF9" w:rsidRPr="005A3BF9" w:rsidRDefault="005A3BF9" w:rsidP="00E23067">
            <w:pPr>
              <w:spacing w:after="20"/>
              <w:jc w:val="both"/>
              <w:rPr>
                <w:b/>
                <w:bCs/>
              </w:rPr>
            </w:pPr>
          </w:p>
        </w:tc>
      </w:tr>
      <w:tr w:rsidR="005A3BF9" w:rsidRPr="005A3BF9" w:rsidTr="00E23067">
        <w:trPr>
          <w:trHeight w:val="182"/>
        </w:trPr>
        <w:tc>
          <w:tcPr>
            <w:tcW w:w="708" w:type="dxa"/>
            <w:vAlign w:val="center"/>
          </w:tcPr>
          <w:p w:rsidR="005A3BF9" w:rsidRPr="005A3BF9" w:rsidRDefault="005A3BF9" w:rsidP="00E23067">
            <w:pPr>
              <w:spacing w:after="20"/>
              <w:jc w:val="center"/>
            </w:pPr>
            <w:r w:rsidRPr="005A3BF9">
              <w:t>3.4</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Bảo hiểm y tế</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789.750đ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Thời hạn sử dụng thẻ: từ ngày 01/10/2025 - 31/12/2026</w:t>
            </w:r>
          </w:p>
        </w:tc>
      </w:tr>
      <w:tr w:rsidR="005A3BF9" w:rsidRPr="005A3BF9" w:rsidTr="00E23067">
        <w:trPr>
          <w:trHeight w:val="182"/>
        </w:trPr>
        <w:tc>
          <w:tcPr>
            <w:tcW w:w="708" w:type="dxa"/>
          </w:tcPr>
          <w:p w:rsidR="005A3BF9" w:rsidRPr="005A3BF9" w:rsidRDefault="005A3BF9" w:rsidP="00E23067">
            <w:pPr>
              <w:spacing w:after="20"/>
              <w:jc w:val="center"/>
            </w:pPr>
            <w:r w:rsidRPr="005A3BF9">
              <w:t>3.5</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BHTT</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120.000đ</w:t>
            </w:r>
          </w:p>
        </w:tc>
        <w:tc>
          <w:tcPr>
            <w:tcW w:w="3687" w:type="dxa"/>
          </w:tcPr>
          <w:p w:rsidR="005A3BF9" w:rsidRPr="005A3BF9" w:rsidRDefault="005A3BF9" w:rsidP="00E23067">
            <w:pPr>
              <w:spacing w:after="20"/>
              <w:jc w:val="both"/>
              <w:rPr>
                <w:b/>
                <w:bCs/>
              </w:rPr>
            </w:pPr>
            <w:r w:rsidRPr="005A3BF9">
              <w:rPr>
                <w:bCs/>
              </w:rPr>
              <w:t>Không bắt buộc</w:t>
            </w:r>
          </w:p>
        </w:tc>
      </w:tr>
      <w:tr w:rsidR="005A3BF9" w:rsidRPr="005A3BF9" w:rsidTr="00E23067">
        <w:trPr>
          <w:trHeight w:val="182"/>
        </w:trPr>
        <w:tc>
          <w:tcPr>
            <w:tcW w:w="708" w:type="dxa"/>
          </w:tcPr>
          <w:p w:rsidR="005A3BF9" w:rsidRPr="005A3BF9" w:rsidRDefault="005A3BF9" w:rsidP="00E23067">
            <w:pPr>
              <w:spacing w:after="20"/>
              <w:jc w:val="center"/>
            </w:pPr>
            <w:r w:rsidRPr="005A3BF9">
              <w:t>3.6</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Phí khám sức khỏe đầu năm</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90.000đ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3816" w:type="dxa"/>
            <w:gridSpan w:val="2"/>
          </w:tcPr>
          <w:p w:rsidR="005A3BF9" w:rsidRPr="005A3BF9" w:rsidRDefault="005A3BF9" w:rsidP="00E23067">
            <w:pPr>
              <w:spacing w:after="20"/>
              <w:jc w:val="both"/>
              <w:rPr>
                <w:rFonts w:eastAsia="Times New Roman"/>
                <w:b/>
                <w:bCs/>
                <w:szCs w:val="26"/>
              </w:rPr>
            </w:pPr>
            <w:r w:rsidRPr="005A3BF9">
              <w:rPr>
                <w:rFonts w:eastAsia="Times New Roman"/>
                <w:b/>
                <w:bCs/>
                <w:szCs w:val="26"/>
              </w:rPr>
              <w:t>Tổng cộng</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b/>
                <w:bCs/>
                <w:szCs w:val="26"/>
              </w:rPr>
              <w:t>10.471.750đ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9351" w:type="dxa"/>
            <w:gridSpan w:val="4"/>
          </w:tcPr>
          <w:p w:rsidR="005A3BF9" w:rsidRPr="005A3BF9" w:rsidRDefault="005A3BF9" w:rsidP="00E23067">
            <w:pPr>
              <w:spacing w:after="20"/>
              <w:jc w:val="both"/>
              <w:rPr>
                <w:b/>
                <w:bCs/>
              </w:rPr>
            </w:pPr>
            <w:r w:rsidRPr="005A3BF9">
              <w:rPr>
                <w:rFonts w:eastAsia="Times New Roman"/>
                <w:b/>
                <w:bCs/>
                <w:szCs w:val="26"/>
              </w:rPr>
              <w:t>4. Các ngành: Công nghệ sinh học; Hóa học (thuộc khối ngành IV)</w:t>
            </w:r>
          </w:p>
        </w:tc>
      </w:tr>
      <w:tr w:rsidR="005A3BF9" w:rsidRPr="005A3BF9" w:rsidTr="00E23067">
        <w:trPr>
          <w:trHeight w:val="182"/>
        </w:trPr>
        <w:tc>
          <w:tcPr>
            <w:tcW w:w="708" w:type="dxa"/>
          </w:tcPr>
          <w:p w:rsidR="005A3BF9" w:rsidRPr="005A3BF9" w:rsidRDefault="005A3BF9" w:rsidP="00E23067">
            <w:pPr>
              <w:spacing w:after="20"/>
              <w:jc w:val="center"/>
            </w:pPr>
            <w:r w:rsidRPr="005A3BF9">
              <w:t>4.1</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Học phí tín chỉ văn hóa</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8.655.000đ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Tạm thu 15 tín chỉ x 577.000đ/tc</w:t>
            </w:r>
          </w:p>
        </w:tc>
      </w:tr>
      <w:tr w:rsidR="005A3BF9" w:rsidRPr="005A3BF9" w:rsidTr="00E23067">
        <w:trPr>
          <w:trHeight w:val="182"/>
        </w:trPr>
        <w:tc>
          <w:tcPr>
            <w:tcW w:w="708" w:type="dxa"/>
          </w:tcPr>
          <w:p w:rsidR="005A3BF9" w:rsidRPr="005A3BF9" w:rsidRDefault="005A3BF9" w:rsidP="00E23067">
            <w:pPr>
              <w:spacing w:after="20"/>
              <w:jc w:val="center"/>
            </w:pPr>
            <w:r w:rsidRPr="005A3BF9">
              <w:t>4.2</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Học phí GDTC</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498.000đ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1 tín chỉ</w:t>
            </w:r>
          </w:p>
        </w:tc>
      </w:tr>
      <w:tr w:rsidR="005A3BF9" w:rsidRPr="005A3BF9" w:rsidTr="00E23067">
        <w:trPr>
          <w:trHeight w:val="182"/>
        </w:trPr>
        <w:tc>
          <w:tcPr>
            <w:tcW w:w="708" w:type="dxa"/>
          </w:tcPr>
          <w:p w:rsidR="005A3BF9" w:rsidRPr="005A3BF9" w:rsidRDefault="005A3BF9" w:rsidP="00E23067">
            <w:pPr>
              <w:spacing w:after="20"/>
              <w:jc w:val="center"/>
            </w:pPr>
            <w:r w:rsidRPr="005A3BF9">
              <w:t>4.3</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GDQP</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1.600.000đ</w:t>
            </w:r>
          </w:p>
        </w:tc>
        <w:tc>
          <w:tcPr>
            <w:tcW w:w="3687" w:type="dxa"/>
            <w:vAlign w:val="center"/>
          </w:tcPr>
          <w:p w:rsidR="005A3BF9" w:rsidRPr="005A3BF9" w:rsidRDefault="005A3BF9" w:rsidP="00E23067">
            <w:pPr>
              <w:spacing w:after="20"/>
              <w:jc w:val="both"/>
              <w:rPr>
                <w:b/>
                <w:bCs/>
              </w:rPr>
            </w:pPr>
          </w:p>
        </w:tc>
      </w:tr>
      <w:tr w:rsidR="005A3BF9" w:rsidRPr="005A3BF9" w:rsidTr="00E23067">
        <w:trPr>
          <w:trHeight w:val="182"/>
        </w:trPr>
        <w:tc>
          <w:tcPr>
            <w:tcW w:w="708" w:type="dxa"/>
            <w:vAlign w:val="center"/>
          </w:tcPr>
          <w:p w:rsidR="005A3BF9" w:rsidRPr="005A3BF9" w:rsidRDefault="005A3BF9" w:rsidP="00E23067">
            <w:pPr>
              <w:spacing w:after="20"/>
              <w:jc w:val="center"/>
            </w:pPr>
            <w:r w:rsidRPr="005A3BF9">
              <w:t>4.4</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Bảo hiểm y tế</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789.750đ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Thời hạn sử dụng thẻ: từ ngày 01/10/2025 - 31/12/2026</w:t>
            </w:r>
          </w:p>
        </w:tc>
      </w:tr>
      <w:tr w:rsidR="005A3BF9" w:rsidRPr="005A3BF9" w:rsidTr="00E23067">
        <w:trPr>
          <w:trHeight w:val="182"/>
        </w:trPr>
        <w:tc>
          <w:tcPr>
            <w:tcW w:w="708" w:type="dxa"/>
          </w:tcPr>
          <w:p w:rsidR="005A3BF9" w:rsidRPr="005A3BF9" w:rsidRDefault="005A3BF9" w:rsidP="00E23067">
            <w:pPr>
              <w:spacing w:after="20"/>
              <w:jc w:val="center"/>
            </w:pPr>
            <w:r w:rsidRPr="005A3BF9">
              <w:t>4.5</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BHTT</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120.000đ</w:t>
            </w:r>
          </w:p>
        </w:tc>
        <w:tc>
          <w:tcPr>
            <w:tcW w:w="3687" w:type="dxa"/>
          </w:tcPr>
          <w:p w:rsidR="005A3BF9" w:rsidRPr="005A3BF9" w:rsidRDefault="005A3BF9" w:rsidP="00E23067">
            <w:pPr>
              <w:spacing w:after="20"/>
              <w:jc w:val="both"/>
              <w:rPr>
                <w:b/>
                <w:bCs/>
              </w:rPr>
            </w:pPr>
            <w:r w:rsidRPr="005A3BF9">
              <w:rPr>
                <w:bCs/>
              </w:rPr>
              <w:t>Không bắt buộc</w:t>
            </w:r>
          </w:p>
        </w:tc>
      </w:tr>
      <w:tr w:rsidR="005A3BF9" w:rsidRPr="005A3BF9" w:rsidTr="00E23067">
        <w:trPr>
          <w:trHeight w:val="182"/>
        </w:trPr>
        <w:tc>
          <w:tcPr>
            <w:tcW w:w="708" w:type="dxa"/>
          </w:tcPr>
          <w:p w:rsidR="005A3BF9" w:rsidRPr="005A3BF9" w:rsidRDefault="005A3BF9" w:rsidP="00E23067">
            <w:pPr>
              <w:spacing w:after="20"/>
              <w:jc w:val="center"/>
            </w:pPr>
            <w:r w:rsidRPr="005A3BF9">
              <w:t>4.6</w:t>
            </w:r>
          </w:p>
        </w:tc>
        <w:tc>
          <w:tcPr>
            <w:tcW w:w="310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Phí khám sức khỏe đầu năm</w:t>
            </w:r>
          </w:p>
        </w:tc>
        <w:tc>
          <w:tcPr>
            <w:tcW w:w="1848" w:type="dxa"/>
            <w:vAlign w:val="center"/>
          </w:tcPr>
          <w:p w:rsidR="005A3BF9" w:rsidRPr="005A3BF9" w:rsidRDefault="005A3BF9" w:rsidP="00E23067">
            <w:pPr>
              <w:spacing w:after="20"/>
              <w:jc w:val="both"/>
              <w:rPr>
                <w:rFonts w:eastAsia="Times New Roman"/>
                <w:b/>
                <w:bCs/>
                <w:szCs w:val="26"/>
              </w:rPr>
            </w:pPr>
            <w:r w:rsidRPr="005A3BF9">
              <w:rPr>
                <w:rFonts w:eastAsia="Times New Roman"/>
                <w:szCs w:val="26"/>
              </w:rPr>
              <w:t>90.000đ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3816" w:type="dxa"/>
            <w:gridSpan w:val="2"/>
          </w:tcPr>
          <w:p w:rsidR="005A3BF9" w:rsidRPr="005A3BF9" w:rsidRDefault="005A3BF9" w:rsidP="00E23067">
            <w:pPr>
              <w:spacing w:after="20"/>
              <w:jc w:val="both"/>
              <w:rPr>
                <w:rFonts w:eastAsia="Times New Roman"/>
                <w:szCs w:val="26"/>
              </w:rPr>
            </w:pPr>
            <w:r w:rsidRPr="005A3BF9">
              <w:rPr>
                <w:rFonts w:eastAsia="Times New Roman"/>
                <w:b/>
                <w:bCs/>
                <w:szCs w:val="26"/>
              </w:rPr>
              <w:t>Tổng cộng</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b/>
                <w:bCs/>
                <w:szCs w:val="26"/>
              </w:rPr>
              <w:t>11.752.750đ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9351" w:type="dxa"/>
            <w:gridSpan w:val="4"/>
            <w:vAlign w:val="center"/>
          </w:tcPr>
          <w:p w:rsidR="005A3BF9" w:rsidRPr="005A3BF9" w:rsidRDefault="005A3BF9" w:rsidP="00E23067">
            <w:pPr>
              <w:spacing w:after="20"/>
              <w:jc w:val="both"/>
              <w:rPr>
                <w:b/>
                <w:bCs/>
              </w:rPr>
            </w:pPr>
            <w:r w:rsidRPr="005A3BF9">
              <w:rPr>
                <w:rFonts w:eastAsia="Times New Roman"/>
                <w:b/>
                <w:bCs/>
                <w:szCs w:val="26"/>
              </w:rPr>
              <w:t>5. Các ngành: Công nghệ thông tin (thuộc khối ngành V)</w:t>
            </w:r>
          </w:p>
        </w:tc>
      </w:tr>
      <w:tr w:rsidR="005A3BF9" w:rsidRPr="005A3BF9" w:rsidTr="00E23067">
        <w:trPr>
          <w:trHeight w:val="182"/>
        </w:trPr>
        <w:tc>
          <w:tcPr>
            <w:tcW w:w="708" w:type="dxa"/>
          </w:tcPr>
          <w:p w:rsidR="005A3BF9" w:rsidRPr="005A3BF9" w:rsidRDefault="005A3BF9" w:rsidP="00E23067">
            <w:pPr>
              <w:spacing w:after="20"/>
              <w:jc w:val="center"/>
            </w:pPr>
            <w:r w:rsidRPr="005A3BF9">
              <w:t>5.1</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Học phí tín chỉ văn hóa</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9.375.000đ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Tạm thu 15 tín chỉ x 625.000đ/tc</w:t>
            </w:r>
          </w:p>
        </w:tc>
      </w:tr>
      <w:tr w:rsidR="005A3BF9" w:rsidRPr="005A3BF9" w:rsidTr="00E23067">
        <w:trPr>
          <w:trHeight w:val="182"/>
        </w:trPr>
        <w:tc>
          <w:tcPr>
            <w:tcW w:w="708" w:type="dxa"/>
          </w:tcPr>
          <w:p w:rsidR="005A3BF9" w:rsidRPr="005A3BF9" w:rsidRDefault="005A3BF9" w:rsidP="00E23067">
            <w:pPr>
              <w:spacing w:after="20"/>
              <w:jc w:val="center"/>
            </w:pPr>
            <w:r w:rsidRPr="005A3BF9">
              <w:t>5.2</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Học phí GDTC</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540.000đ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1 tín chỉ</w:t>
            </w:r>
          </w:p>
        </w:tc>
      </w:tr>
      <w:tr w:rsidR="005A3BF9" w:rsidRPr="005A3BF9" w:rsidTr="00E23067">
        <w:trPr>
          <w:trHeight w:val="182"/>
        </w:trPr>
        <w:tc>
          <w:tcPr>
            <w:tcW w:w="708" w:type="dxa"/>
          </w:tcPr>
          <w:p w:rsidR="005A3BF9" w:rsidRPr="005A3BF9" w:rsidRDefault="005A3BF9" w:rsidP="00E23067">
            <w:pPr>
              <w:spacing w:after="20"/>
              <w:jc w:val="center"/>
            </w:pPr>
            <w:r w:rsidRPr="005A3BF9">
              <w:t>5.3</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GDQP</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1.600.000đ</w:t>
            </w:r>
          </w:p>
        </w:tc>
        <w:tc>
          <w:tcPr>
            <w:tcW w:w="3687" w:type="dxa"/>
            <w:vAlign w:val="center"/>
          </w:tcPr>
          <w:p w:rsidR="005A3BF9" w:rsidRPr="005A3BF9" w:rsidRDefault="005A3BF9" w:rsidP="00E23067">
            <w:pPr>
              <w:spacing w:after="20"/>
              <w:jc w:val="both"/>
              <w:rPr>
                <w:b/>
                <w:bCs/>
              </w:rPr>
            </w:pPr>
          </w:p>
        </w:tc>
      </w:tr>
      <w:tr w:rsidR="005A3BF9" w:rsidRPr="005A3BF9" w:rsidTr="00E23067">
        <w:trPr>
          <w:trHeight w:val="182"/>
        </w:trPr>
        <w:tc>
          <w:tcPr>
            <w:tcW w:w="708" w:type="dxa"/>
            <w:vAlign w:val="center"/>
          </w:tcPr>
          <w:p w:rsidR="005A3BF9" w:rsidRPr="005A3BF9" w:rsidRDefault="005A3BF9" w:rsidP="00E23067">
            <w:pPr>
              <w:spacing w:after="20"/>
              <w:jc w:val="center"/>
            </w:pPr>
            <w:r w:rsidRPr="005A3BF9">
              <w:t>5.4</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Bảo hiểm y tế</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789.750đ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Thời hạn sử dụng thẻ: từ ngày 01/10/2025 - 31/12/2026</w:t>
            </w:r>
          </w:p>
        </w:tc>
      </w:tr>
      <w:tr w:rsidR="005A3BF9" w:rsidRPr="005A3BF9" w:rsidTr="00E23067">
        <w:trPr>
          <w:trHeight w:val="182"/>
        </w:trPr>
        <w:tc>
          <w:tcPr>
            <w:tcW w:w="708" w:type="dxa"/>
          </w:tcPr>
          <w:p w:rsidR="005A3BF9" w:rsidRPr="005A3BF9" w:rsidRDefault="005A3BF9" w:rsidP="00E23067">
            <w:pPr>
              <w:spacing w:after="20"/>
              <w:jc w:val="center"/>
            </w:pPr>
            <w:r w:rsidRPr="005A3BF9">
              <w:t>5.5</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BHTT</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120.000đ</w:t>
            </w:r>
          </w:p>
        </w:tc>
        <w:tc>
          <w:tcPr>
            <w:tcW w:w="3687" w:type="dxa"/>
          </w:tcPr>
          <w:p w:rsidR="005A3BF9" w:rsidRPr="005A3BF9" w:rsidRDefault="005A3BF9" w:rsidP="00E23067">
            <w:pPr>
              <w:spacing w:after="20"/>
              <w:jc w:val="both"/>
              <w:rPr>
                <w:b/>
                <w:bCs/>
              </w:rPr>
            </w:pPr>
            <w:r w:rsidRPr="005A3BF9">
              <w:rPr>
                <w:bCs/>
              </w:rPr>
              <w:t>Không bắt buộc</w:t>
            </w:r>
          </w:p>
        </w:tc>
      </w:tr>
      <w:tr w:rsidR="005A3BF9" w:rsidRPr="005A3BF9" w:rsidTr="00E23067">
        <w:trPr>
          <w:trHeight w:val="182"/>
        </w:trPr>
        <w:tc>
          <w:tcPr>
            <w:tcW w:w="708" w:type="dxa"/>
          </w:tcPr>
          <w:p w:rsidR="005A3BF9" w:rsidRPr="005A3BF9" w:rsidRDefault="005A3BF9" w:rsidP="00E23067">
            <w:pPr>
              <w:spacing w:after="20"/>
              <w:jc w:val="center"/>
            </w:pPr>
            <w:r w:rsidRPr="005A3BF9">
              <w:t>5.6</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Phí khám sức khỏe đầu năm</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90.000đ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3816" w:type="dxa"/>
            <w:gridSpan w:val="2"/>
          </w:tcPr>
          <w:p w:rsidR="005A3BF9" w:rsidRPr="005A3BF9" w:rsidRDefault="005A3BF9" w:rsidP="00E23067">
            <w:pPr>
              <w:spacing w:after="20"/>
              <w:jc w:val="both"/>
              <w:rPr>
                <w:rFonts w:eastAsia="Times New Roman"/>
                <w:szCs w:val="26"/>
              </w:rPr>
            </w:pPr>
            <w:r w:rsidRPr="005A3BF9">
              <w:rPr>
                <w:rFonts w:eastAsia="Times New Roman"/>
                <w:b/>
                <w:bCs/>
                <w:szCs w:val="26"/>
              </w:rPr>
              <w:t>Tổng cộng</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b/>
                <w:bCs/>
                <w:szCs w:val="26"/>
              </w:rPr>
              <w:t>12.514.750đ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9351" w:type="dxa"/>
            <w:gridSpan w:val="4"/>
            <w:vAlign w:val="center"/>
          </w:tcPr>
          <w:p w:rsidR="005A3BF9" w:rsidRPr="005A3BF9" w:rsidRDefault="005A3BF9" w:rsidP="00E23067">
            <w:pPr>
              <w:spacing w:after="20"/>
              <w:jc w:val="both"/>
              <w:rPr>
                <w:b/>
                <w:bCs/>
              </w:rPr>
            </w:pPr>
            <w:r w:rsidRPr="005A3BF9">
              <w:rPr>
                <w:rFonts w:eastAsia="Times New Roman"/>
                <w:b/>
                <w:bCs/>
                <w:szCs w:val="26"/>
              </w:rPr>
              <w:t>6. Các ngành: Quản lý tài nguyên môi trường; Địa lý học; Công tác xã hội; Văn hóa học; Báo chí; Việt Nam học; Tâm lý học (thuộc khối ngành VII)</w:t>
            </w:r>
          </w:p>
        </w:tc>
      </w:tr>
      <w:tr w:rsidR="005A3BF9" w:rsidRPr="005A3BF9" w:rsidTr="00E23067">
        <w:trPr>
          <w:trHeight w:val="182"/>
        </w:trPr>
        <w:tc>
          <w:tcPr>
            <w:tcW w:w="708" w:type="dxa"/>
          </w:tcPr>
          <w:p w:rsidR="005A3BF9" w:rsidRPr="005A3BF9" w:rsidRDefault="005A3BF9" w:rsidP="00E23067">
            <w:pPr>
              <w:spacing w:after="20"/>
              <w:jc w:val="center"/>
            </w:pPr>
            <w:r w:rsidRPr="005A3BF9">
              <w:t>6.1</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Học phí tín chỉ văn hóa</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8.550.000đ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Tạm thu 15 tín chỉ x 570.000đ/tc</w:t>
            </w:r>
          </w:p>
        </w:tc>
      </w:tr>
      <w:tr w:rsidR="005A3BF9" w:rsidRPr="005A3BF9" w:rsidTr="00E23067">
        <w:trPr>
          <w:trHeight w:val="182"/>
        </w:trPr>
        <w:tc>
          <w:tcPr>
            <w:tcW w:w="708" w:type="dxa"/>
          </w:tcPr>
          <w:p w:rsidR="005A3BF9" w:rsidRPr="005A3BF9" w:rsidRDefault="005A3BF9" w:rsidP="00E23067">
            <w:pPr>
              <w:spacing w:after="20"/>
              <w:jc w:val="center"/>
            </w:pPr>
            <w:r w:rsidRPr="005A3BF9">
              <w:t>6.2</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Học phí GDTC</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492.000đ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1 tín chỉ</w:t>
            </w:r>
          </w:p>
        </w:tc>
      </w:tr>
      <w:tr w:rsidR="005A3BF9" w:rsidRPr="005A3BF9" w:rsidTr="00E23067">
        <w:trPr>
          <w:trHeight w:val="182"/>
        </w:trPr>
        <w:tc>
          <w:tcPr>
            <w:tcW w:w="708" w:type="dxa"/>
          </w:tcPr>
          <w:p w:rsidR="005A3BF9" w:rsidRPr="005A3BF9" w:rsidRDefault="005A3BF9" w:rsidP="00E23067">
            <w:pPr>
              <w:spacing w:after="20"/>
              <w:jc w:val="center"/>
            </w:pPr>
            <w:r w:rsidRPr="005A3BF9">
              <w:t>6.3</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GDQP</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1.600.000đ</w:t>
            </w:r>
          </w:p>
        </w:tc>
        <w:tc>
          <w:tcPr>
            <w:tcW w:w="3687" w:type="dxa"/>
            <w:vAlign w:val="center"/>
          </w:tcPr>
          <w:p w:rsidR="005A3BF9" w:rsidRPr="005A3BF9" w:rsidRDefault="005A3BF9" w:rsidP="00E23067">
            <w:pPr>
              <w:spacing w:after="20"/>
              <w:jc w:val="both"/>
              <w:rPr>
                <w:b/>
                <w:bCs/>
              </w:rPr>
            </w:pPr>
          </w:p>
        </w:tc>
      </w:tr>
      <w:tr w:rsidR="005A3BF9" w:rsidRPr="005A3BF9" w:rsidTr="00E23067">
        <w:trPr>
          <w:trHeight w:val="182"/>
        </w:trPr>
        <w:tc>
          <w:tcPr>
            <w:tcW w:w="708" w:type="dxa"/>
            <w:vAlign w:val="center"/>
          </w:tcPr>
          <w:p w:rsidR="005A3BF9" w:rsidRPr="005A3BF9" w:rsidRDefault="005A3BF9" w:rsidP="00E23067">
            <w:pPr>
              <w:spacing w:after="20"/>
              <w:jc w:val="center"/>
            </w:pPr>
            <w:r w:rsidRPr="005A3BF9">
              <w:lastRenderedPageBreak/>
              <w:t>6.4</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Bảo hiểm y tế</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789.750đ</w:t>
            </w:r>
          </w:p>
        </w:tc>
        <w:tc>
          <w:tcPr>
            <w:tcW w:w="3687" w:type="dxa"/>
            <w:vAlign w:val="center"/>
          </w:tcPr>
          <w:p w:rsidR="005A3BF9" w:rsidRPr="005A3BF9" w:rsidRDefault="005A3BF9" w:rsidP="00E23067">
            <w:pPr>
              <w:spacing w:after="20"/>
              <w:jc w:val="both"/>
              <w:rPr>
                <w:b/>
                <w:bCs/>
              </w:rPr>
            </w:pPr>
            <w:r w:rsidRPr="005A3BF9">
              <w:rPr>
                <w:rFonts w:eastAsia="Times New Roman"/>
                <w:szCs w:val="26"/>
              </w:rPr>
              <w:t>Thời hạn sử dụng thẻ: từ ngày 01/10/2025 - 31/12/2026</w:t>
            </w:r>
          </w:p>
        </w:tc>
      </w:tr>
      <w:tr w:rsidR="005A3BF9" w:rsidRPr="005A3BF9" w:rsidTr="00E23067">
        <w:trPr>
          <w:trHeight w:val="182"/>
        </w:trPr>
        <w:tc>
          <w:tcPr>
            <w:tcW w:w="708" w:type="dxa"/>
          </w:tcPr>
          <w:p w:rsidR="005A3BF9" w:rsidRPr="005A3BF9" w:rsidRDefault="005A3BF9" w:rsidP="00E23067">
            <w:pPr>
              <w:spacing w:after="20"/>
              <w:jc w:val="center"/>
            </w:pPr>
            <w:r w:rsidRPr="005A3BF9">
              <w:t>6.5</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BHTT</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120.000đ</w:t>
            </w:r>
          </w:p>
        </w:tc>
        <w:tc>
          <w:tcPr>
            <w:tcW w:w="3687" w:type="dxa"/>
          </w:tcPr>
          <w:p w:rsidR="005A3BF9" w:rsidRPr="005A3BF9" w:rsidRDefault="005A3BF9" w:rsidP="00E23067">
            <w:pPr>
              <w:spacing w:after="20"/>
              <w:jc w:val="both"/>
              <w:rPr>
                <w:b/>
                <w:bCs/>
              </w:rPr>
            </w:pPr>
            <w:r w:rsidRPr="005A3BF9">
              <w:rPr>
                <w:bCs/>
              </w:rPr>
              <w:t>Không bắt buộc</w:t>
            </w:r>
          </w:p>
        </w:tc>
      </w:tr>
      <w:tr w:rsidR="005A3BF9" w:rsidRPr="005A3BF9" w:rsidTr="00E23067">
        <w:trPr>
          <w:trHeight w:val="182"/>
        </w:trPr>
        <w:tc>
          <w:tcPr>
            <w:tcW w:w="708" w:type="dxa"/>
          </w:tcPr>
          <w:p w:rsidR="005A3BF9" w:rsidRPr="005A3BF9" w:rsidRDefault="005A3BF9" w:rsidP="00E23067">
            <w:pPr>
              <w:spacing w:after="20"/>
              <w:jc w:val="center"/>
            </w:pPr>
            <w:r w:rsidRPr="005A3BF9">
              <w:t>6.6</w:t>
            </w:r>
          </w:p>
        </w:tc>
        <w:tc>
          <w:tcPr>
            <w:tcW w:w="310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Phí khám sức khỏe đầu năm</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szCs w:val="26"/>
              </w:rPr>
              <w:t>90.000đ</w:t>
            </w:r>
          </w:p>
        </w:tc>
        <w:tc>
          <w:tcPr>
            <w:tcW w:w="3687" w:type="dxa"/>
          </w:tcPr>
          <w:p w:rsidR="005A3BF9" w:rsidRPr="005A3BF9" w:rsidRDefault="005A3BF9" w:rsidP="00E23067">
            <w:pPr>
              <w:spacing w:after="20"/>
              <w:jc w:val="both"/>
              <w:rPr>
                <w:b/>
                <w:bCs/>
              </w:rPr>
            </w:pPr>
          </w:p>
        </w:tc>
      </w:tr>
      <w:tr w:rsidR="005A3BF9" w:rsidRPr="005A3BF9" w:rsidTr="00E23067">
        <w:trPr>
          <w:trHeight w:val="182"/>
        </w:trPr>
        <w:tc>
          <w:tcPr>
            <w:tcW w:w="3816" w:type="dxa"/>
            <w:gridSpan w:val="2"/>
          </w:tcPr>
          <w:p w:rsidR="005A3BF9" w:rsidRPr="005A3BF9" w:rsidRDefault="005A3BF9" w:rsidP="00E23067">
            <w:pPr>
              <w:spacing w:after="20"/>
              <w:jc w:val="both"/>
              <w:rPr>
                <w:rFonts w:eastAsia="Times New Roman"/>
                <w:szCs w:val="26"/>
              </w:rPr>
            </w:pPr>
            <w:r w:rsidRPr="005A3BF9">
              <w:rPr>
                <w:rFonts w:eastAsia="Times New Roman"/>
                <w:b/>
                <w:bCs/>
                <w:szCs w:val="26"/>
              </w:rPr>
              <w:t>Tổng cộng</w:t>
            </w:r>
          </w:p>
        </w:tc>
        <w:tc>
          <w:tcPr>
            <w:tcW w:w="1848" w:type="dxa"/>
            <w:vAlign w:val="center"/>
          </w:tcPr>
          <w:p w:rsidR="005A3BF9" w:rsidRPr="005A3BF9" w:rsidRDefault="005A3BF9" w:rsidP="00E23067">
            <w:pPr>
              <w:spacing w:after="20"/>
              <w:jc w:val="both"/>
              <w:rPr>
                <w:rFonts w:eastAsia="Times New Roman"/>
                <w:szCs w:val="26"/>
              </w:rPr>
            </w:pPr>
            <w:r w:rsidRPr="005A3BF9">
              <w:rPr>
                <w:rFonts w:eastAsia="Times New Roman"/>
                <w:b/>
                <w:bCs/>
                <w:szCs w:val="26"/>
              </w:rPr>
              <w:t>11.641.750đ</w:t>
            </w:r>
          </w:p>
        </w:tc>
        <w:tc>
          <w:tcPr>
            <w:tcW w:w="3687" w:type="dxa"/>
          </w:tcPr>
          <w:p w:rsidR="005A3BF9" w:rsidRPr="005A3BF9" w:rsidRDefault="005A3BF9" w:rsidP="00E23067">
            <w:pPr>
              <w:spacing w:after="20"/>
              <w:jc w:val="both"/>
              <w:rPr>
                <w:b/>
                <w:bCs/>
              </w:rPr>
            </w:pPr>
          </w:p>
        </w:tc>
      </w:tr>
    </w:tbl>
    <w:p w:rsidR="005A3BF9" w:rsidRPr="005A3BF9" w:rsidRDefault="005A3BF9" w:rsidP="005A3BF9">
      <w:pPr>
        <w:spacing w:before="120" w:after="60" w:line="276" w:lineRule="auto"/>
        <w:ind w:firstLine="720"/>
        <w:jc w:val="both"/>
        <w:rPr>
          <w:color w:val="auto"/>
        </w:rPr>
      </w:pPr>
      <w:r w:rsidRPr="005A3BF9">
        <w:rPr>
          <w:b/>
          <w:bCs/>
          <w:i/>
          <w:iCs/>
          <w:color w:val="FF0000"/>
        </w:rPr>
        <w:t xml:space="preserve">* Lưu ý: </w:t>
      </w:r>
      <w:r w:rsidRPr="005A3BF9">
        <w:rPr>
          <w:color w:val="auto"/>
        </w:rPr>
        <w:t>sinh viên thuộc diện</w:t>
      </w:r>
      <w:r w:rsidRPr="005A3BF9">
        <w:rPr>
          <w:color w:val="auto"/>
          <w:lang w:val="vi-VN"/>
        </w:rPr>
        <w:t xml:space="preserve"> được miễn BHYT sẽ được </w:t>
      </w:r>
      <w:r w:rsidRPr="005A3BF9">
        <w:rPr>
          <w:color w:val="auto"/>
        </w:rPr>
        <w:t>hoàn tiền sau khi Nhà trường kiểm tra minh chứng</w:t>
      </w:r>
      <w:r w:rsidRPr="005A3BF9">
        <w:rPr>
          <w:color w:val="auto"/>
          <w:lang w:val="vi-VN"/>
        </w:rPr>
        <w:t>.</w:t>
      </w:r>
    </w:p>
    <w:p w:rsidR="005A3BF9" w:rsidRPr="005A3BF9" w:rsidRDefault="005A3BF9" w:rsidP="005A3BF9">
      <w:pPr>
        <w:spacing w:line="252" w:lineRule="auto"/>
        <w:ind w:firstLine="720"/>
        <w:jc w:val="both"/>
        <w:rPr>
          <w:b/>
          <w:bCs/>
          <w:color w:val="auto"/>
        </w:rPr>
      </w:pPr>
      <w:r w:rsidRPr="005A3BF9">
        <w:rPr>
          <w:b/>
          <w:bCs/>
          <w:color w:val="auto"/>
        </w:rPr>
        <w:t>IV. Trình tự thực hiện thủ tục nhập học</w:t>
      </w:r>
    </w:p>
    <w:p w:rsidR="005A3BF9" w:rsidRPr="005A3BF9" w:rsidRDefault="005A3BF9" w:rsidP="005A3BF9">
      <w:pPr>
        <w:spacing w:line="252" w:lineRule="auto"/>
        <w:ind w:firstLine="720"/>
        <w:jc w:val="both"/>
        <w:rPr>
          <w:color w:val="auto"/>
        </w:rPr>
      </w:pPr>
      <w:r w:rsidRPr="005A3BF9">
        <w:rPr>
          <w:b/>
          <w:color w:val="auto"/>
        </w:rPr>
        <w:t>Bước 1</w:t>
      </w:r>
      <w:r w:rsidRPr="005A3BF9">
        <w:rPr>
          <w:color w:val="auto"/>
        </w:rPr>
        <w:t>: N</w:t>
      </w:r>
      <w:r w:rsidRPr="005A3BF9">
        <w:rPr>
          <w:bCs/>
          <w:color w:val="auto"/>
        </w:rPr>
        <w:t>ộp học phí và các khoản thu khác (</w:t>
      </w:r>
      <w:r w:rsidRPr="005A3BF9">
        <w:rPr>
          <w:color w:val="auto"/>
        </w:rPr>
        <w:t>c</w:t>
      </w:r>
      <w:r w:rsidRPr="005A3BF9">
        <w:rPr>
          <w:color w:val="auto"/>
          <w:lang w:val="vi-VN"/>
        </w:rPr>
        <w:t>huyển</w:t>
      </w:r>
      <w:r w:rsidRPr="005A3BF9">
        <w:rPr>
          <w:color w:val="auto"/>
        </w:rPr>
        <w:t xml:space="preserve"> </w:t>
      </w:r>
      <w:r w:rsidRPr="005A3BF9">
        <w:rPr>
          <w:color w:val="auto"/>
          <w:lang w:val="vi-VN"/>
        </w:rPr>
        <w:t>số tiền chính xác đến đơn vị đồng</w:t>
      </w:r>
      <w:r w:rsidRPr="005A3BF9">
        <w:rPr>
          <w:color w:val="auto"/>
        </w:rPr>
        <w:t xml:space="preserve"> và chuyển trước khi đến nộp hồ sơ nhập học </w:t>
      </w:r>
      <w:r w:rsidRPr="005A3BF9">
        <w:rPr>
          <w:b/>
          <w:bCs/>
          <w:color w:val="auto"/>
        </w:rPr>
        <w:t>01</w:t>
      </w:r>
      <w:r w:rsidRPr="005A3BF9">
        <w:rPr>
          <w:color w:val="auto"/>
        </w:rPr>
        <w:t xml:space="preserve"> ngày), cụ thể:</w:t>
      </w:r>
    </w:p>
    <w:p w:rsidR="005A3BF9" w:rsidRPr="005A3BF9" w:rsidRDefault="005A3BF9" w:rsidP="005A3BF9">
      <w:r w:rsidRPr="005A3BF9">
        <w:rPr>
          <w:rFonts w:eastAsia="Times New Roman"/>
          <w:b/>
          <w:bCs/>
          <w:color w:val="auto"/>
          <w:sz w:val="24"/>
          <w:szCs w:val="24"/>
        </w:rPr>
        <w:t>1.</w:t>
      </w:r>
      <w:r w:rsidRPr="005A3BF9">
        <w:rPr>
          <w:b/>
          <w:color w:val="auto"/>
        </w:rPr>
        <w:t xml:space="preserve"> </w:t>
      </w:r>
      <w:r w:rsidRPr="005A3BF9">
        <w:rPr>
          <w:bCs/>
          <w:color w:val="auto"/>
        </w:rPr>
        <w:t xml:space="preserve">Đăng nhập vào link: </w:t>
      </w:r>
      <w:r w:rsidRPr="005A3BF9">
        <w:rPr>
          <w:rStyle w:val="fontstyle01"/>
          <w:color w:val="0000FF"/>
          <w:u w:val="single"/>
        </w:rPr>
        <w:t>https://qlht.ued.udn.vn/noplephinhaphoc</w:t>
      </w:r>
      <w:r w:rsidRPr="005A3BF9">
        <w:rPr>
          <w:bCs/>
          <w:color w:val="auto"/>
        </w:rPr>
        <w:t>, nhập mã sinh viên (hoặc số báo danh) và quét mã QR để nộp các khoản thu đầu năm (Vào link để xem hướng dẫn nộp tiền:</w:t>
      </w:r>
      <w:r w:rsidRPr="005A3BF9">
        <w:t xml:space="preserve"> </w:t>
      </w:r>
      <w:hyperlink r:id="rId5" w:history="1">
        <w:r w:rsidRPr="005A3BF9">
          <w:rPr>
            <w:rStyle w:val="Hyperlink"/>
          </w:rPr>
          <w:t>UED_TaiLieuHuongDan_SinhVienNhapHocDongLePhiQRCodeBIDV.pdf</w:t>
        </w:r>
      </w:hyperlink>
      <w:r w:rsidRPr="005A3BF9">
        <w:rPr>
          <w:bCs/>
          <w:color w:val="auto"/>
        </w:rPr>
        <w:t>)</w:t>
      </w:r>
    </w:p>
    <w:p w:rsidR="005A3BF9" w:rsidRPr="005A3BF9" w:rsidRDefault="005A3BF9" w:rsidP="005A3BF9">
      <w:pPr>
        <w:spacing w:line="252" w:lineRule="auto"/>
        <w:ind w:firstLine="720"/>
        <w:jc w:val="both"/>
        <w:rPr>
          <w:color w:val="auto"/>
        </w:rPr>
      </w:pPr>
      <w:r w:rsidRPr="005A3BF9">
        <w:rPr>
          <w:b/>
          <w:color w:val="auto"/>
        </w:rPr>
        <w:t>3.</w:t>
      </w:r>
      <w:r w:rsidRPr="005A3BF9">
        <w:rPr>
          <w:bCs/>
          <w:color w:val="auto"/>
        </w:rPr>
        <w:t xml:space="preserve"> </w:t>
      </w:r>
      <w:r w:rsidRPr="005A3BF9">
        <w:rPr>
          <w:bCs/>
          <w:iCs/>
          <w:color w:val="auto"/>
        </w:rPr>
        <w:t>Kiểm tra lại thông tin chuyển khoản trước khi hoàn thành giao dịch</w:t>
      </w:r>
      <w:r w:rsidRPr="005A3BF9">
        <w:rPr>
          <w:color w:val="auto"/>
        </w:rPr>
        <w:t>, cụ thể:</w:t>
      </w:r>
    </w:p>
    <w:p w:rsidR="005A3BF9" w:rsidRPr="005A3BF9" w:rsidRDefault="005A3BF9" w:rsidP="005A3BF9">
      <w:pPr>
        <w:spacing w:line="252" w:lineRule="auto"/>
        <w:ind w:firstLine="720"/>
        <w:jc w:val="both"/>
        <w:rPr>
          <w:rFonts w:eastAsia="Times New Roman"/>
          <w:iCs/>
          <w:color w:val="auto"/>
          <w:szCs w:val="26"/>
        </w:rPr>
      </w:pPr>
      <w:r w:rsidRPr="005A3BF9">
        <w:rPr>
          <w:iCs/>
          <w:color w:val="auto"/>
          <w:szCs w:val="26"/>
        </w:rPr>
        <w:t xml:space="preserve">- Số tài khoản: </w:t>
      </w:r>
      <w:r w:rsidRPr="005A3BF9">
        <w:rPr>
          <w:rFonts w:eastAsia="Times New Roman"/>
          <w:iCs/>
          <w:color w:val="auto"/>
          <w:szCs w:val="26"/>
        </w:rPr>
        <w:t>5601679946;</w:t>
      </w:r>
    </w:p>
    <w:p w:rsidR="005A3BF9" w:rsidRPr="005A3BF9" w:rsidRDefault="005A3BF9" w:rsidP="005A3BF9">
      <w:pPr>
        <w:spacing w:line="252" w:lineRule="auto"/>
        <w:ind w:left="720"/>
        <w:jc w:val="both"/>
        <w:rPr>
          <w:iCs/>
          <w:color w:val="auto"/>
          <w:szCs w:val="26"/>
        </w:rPr>
      </w:pPr>
      <w:r w:rsidRPr="005A3BF9">
        <w:rPr>
          <w:rFonts w:eastAsia="Times New Roman"/>
          <w:iCs/>
          <w:color w:val="auto"/>
          <w:szCs w:val="26"/>
        </w:rPr>
        <w:t>- Đơn vị: Trường Đại học Sư phạm - Đại học Đà Nẵng;</w:t>
      </w:r>
    </w:p>
    <w:p w:rsidR="005A3BF9" w:rsidRPr="005A3BF9" w:rsidRDefault="005A3BF9" w:rsidP="005A3BF9">
      <w:pPr>
        <w:spacing w:after="60" w:line="252" w:lineRule="auto"/>
        <w:ind w:left="720"/>
        <w:jc w:val="both"/>
        <w:rPr>
          <w:rFonts w:eastAsia="Times New Roman"/>
          <w:iCs/>
          <w:color w:val="auto"/>
          <w:szCs w:val="26"/>
        </w:rPr>
      </w:pPr>
      <w:r w:rsidRPr="005A3BF9">
        <w:rPr>
          <w:rFonts w:eastAsia="Times New Roman"/>
          <w:iCs/>
          <w:color w:val="auto"/>
          <w:szCs w:val="26"/>
        </w:rPr>
        <w:t>- Tên ngân hàng: TMCP Đầu tư và Phát triển Việt Nam Chi nhánh Hải Vân (BIDV).</w:t>
      </w:r>
    </w:p>
    <w:p w:rsidR="005A3BF9" w:rsidRPr="005A3BF9" w:rsidRDefault="005A3BF9" w:rsidP="005A3BF9">
      <w:pPr>
        <w:spacing w:after="120" w:line="252" w:lineRule="auto"/>
        <w:ind w:firstLine="720"/>
        <w:jc w:val="both"/>
        <w:rPr>
          <w:b/>
          <w:i/>
          <w:color w:val="FF0000"/>
          <w:spacing w:val="3"/>
          <w:szCs w:val="26"/>
          <w:shd w:val="clear" w:color="auto" w:fill="FFFFFF"/>
        </w:rPr>
      </w:pPr>
      <w:bookmarkStart w:id="1" w:name="_Hlk206753568"/>
      <w:r w:rsidRPr="005A3BF9">
        <w:rPr>
          <w:b/>
          <w:bCs/>
          <w:i/>
          <w:iCs/>
          <w:color w:val="FF0000"/>
          <w:szCs w:val="26"/>
        </w:rPr>
        <w:t>* Lưu ý:</w:t>
      </w:r>
      <w:r w:rsidRPr="005A3BF9">
        <w:rPr>
          <w:b/>
          <w:i/>
          <w:color w:val="FF0000"/>
          <w:spacing w:val="3"/>
          <w:szCs w:val="26"/>
          <w:shd w:val="clear" w:color="auto" w:fill="FFFFFF"/>
        </w:rPr>
        <w:t xml:space="preserve"> Trường chỉ tiếp nhận học phí qua 1 tài khoản duy nhất (như trên); các vấn đề phát sinh (nếu có) Tân SV phản ánh và giải quyết trực tiếp tại Bộ phận Tài chính khi đến làm thủ tục nhập học, không liên hệ qua điện thoại và Nhà trường cũng không liên hệ với SV qua điện thoại để giải quyết vấn đề tài chính.</w:t>
      </w:r>
    </w:p>
    <w:bookmarkEnd w:id="1"/>
    <w:p w:rsidR="005A3BF9" w:rsidRPr="005A3BF9" w:rsidRDefault="005A3BF9" w:rsidP="005A3BF9">
      <w:pPr>
        <w:spacing w:line="252" w:lineRule="auto"/>
        <w:ind w:left="720"/>
        <w:jc w:val="both"/>
        <w:rPr>
          <w:color w:val="auto"/>
          <w:spacing w:val="-4"/>
        </w:rPr>
      </w:pPr>
      <w:r w:rsidRPr="005A3BF9">
        <w:rPr>
          <w:b/>
          <w:color w:val="auto"/>
          <w:spacing w:val="-4"/>
        </w:rPr>
        <w:t>Bước 2</w:t>
      </w:r>
      <w:r w:rsidRPr="005A3BF9">
        <w:rPr>
          <w:color w:val="auto"/>
          <w:spacing w:val="-4"/>
        </w:rPr>
        <w:t xml:space="preserve">: Nhận bì hồ sơ, sắp xếp hồ sơ theo thứ tự và nộp hồ sơ tại Bộ phận thu hồ sơ. </w:t>
      </w:r>
    </w:p>
    <w:p w:rsidR="005A3BF9" w:rsidRPr="005A3BF9" w:rsidRDefault="005A3BF9" w:rsidP="005A3BF9">
      <w:pPr>
        <w:spacing w:line="252" w:lineRule="auto"/>
        <w:ind w:firstLine="720"/>
        <w:jc w:val="both"/>
        <w:rPr>
          <w:color w:val="0070C0"/>
        </w:rPr>
      </w:pPr>
      <w:r w:rsidRPr="005A3BF9">
        <w:rPr>
          <w:b/>
          <w:color w:val="auto"/>
        </w:rPr>
        <w:t>Bước 3</w:t>
      </w:r>
      <w:r w:rsidRPr="005A3BF9">
        <w:rPr>
          <w:color w:val="auto"/>
        </w:rPr>
        <w:t xml:space="preserve">: Làm thẻ sinh viên tích hợp thẻ ngân hàng BIDV tại Bộ phận Ngân hàng (Sinh viên in và kê khai thỏa thuận mở và sử dụng tài khoản trước khi đến Trường nhập học, tại link: </w:t>
      </w:r>
      <w:r w:rsidRPr="005A3BF9">
        <w:rPr>
          <w:color w:val="0070C0"/>
          <w:u w:val="single"/>
        </w:rPr>
        <w:t>https://ctsv.ued.udn.vn/index.php/thu-tuc-hanh-chinh/dang-ki-tai-khoan-ngan-hang-lien-ket-the-sinh-vien-172.html</w:t>
      </w:r>
      <w:r w:rsidRPr="005A3BF9">
        <w:rPr>
          <w:color w:val="0070C0"/>
        </w:rPr>
        <w:t>).</w:t>
      </w:r>
    </w:p>
    <w:p w:rsidR="005A3BF9" w:rsidRPr="005A3BF9" w:rsidRDefault="005A3BF9" w:rsidP="005A3BF9">
      <w:pPr>
        <w:spacing w:line="252" w:lineRule="auto"/>
        <w:ind w:left="720"/>
        <w:jc w:val="both"/>
        <w:rPr>
          <w:color w:val="auto"/>
        </w:rPr>
      </w:pPr>
      <w:r w:rsidRPr="005A3BF9">
        <w:rPr>
          <w:b/>
          <w:color w:val="auto"/>
        </w:rPr>
        <w:t>Bước 4</w:t>
      </w:r>
      <w:r w:rsidRPr="005A3BF9">
        <w:rPr>
          <w:color w:val="auto"/>
        </w:rPr>
        <w:t>: Làm thủ tục đăng ký ở Ký túc xá (nếu có).</w:t>
      </w:r>
    </w:p>
    <w:p w:rsidR="005A3BF9" w:rsidRPr="005A3BF9" w:rsidRDefault="005A3BF9" w:rsidP="005A3BF9">
      <w:pPr>
        <w:spacing w:after="60" w:line="252" w:lineRule="auto"/>
        <w:ind w:left="720"/>
        <w:jc w:val="both"/>
        <w:rPr>
          <w:color w:val="auto"/>
        </w:rPr>
      </w:pPr>
      <w:r w:rsidRPr="005A3BF9">
        <w:rPr>
          <w:b/>
          <w:color w:val="auto"/>
        </w:rPr>
        <w:t>Bước 5</w:t>
      </w:r>
      <w:r w:rsidRPr="005A3BF9">
        <w:rPr>
          <w:color w:val="auto"/>
        </w:rPr>
        <w:t>: Về Khoa nhận thời khóa biểu học tập, tiếp nhận thông tin lớp sinh hoạt...</w:t>
      </w:r>
    </w:p>
    <w:p w:rsidR="005A3BF9" w:rsidRPr="005A3BF9" w:rsidRDefault="005A3BF9" w:rsidP="005A3BF9">
      <w:pPr>
        <w:spacing w:line="252" w:lineRule="auto"/>
        <w:ind w:left="720"/>
        <w:jc w:val="both"/>
        <w:rPr>
          <w:b/>
          <w:color w:val="auto"/>
        </w:rPr>
      </w:pPr>
      <w:r w:rsidRPr="005A3BF9">
        <w:rPr>
          <w:b/>
          <w:color w:val="auto"/>
        </w:rPr>
        <w:t>V. Các nội dung khác</w:t>
      </w:r>
    </w:p>
    <w:p w:rsidR="005A3BF9" w:rsidRPr="005A3BF9" w:rsidRDefault="005A3BF9" w:rsidP="005A3BF9">
      <w:pPr>
        <w:spacing w:line="252" w:lineRule="auto"/>
        <w:ind w:firstLine="720"/>
        <w:jc w:val="both"/>
        <w:rPr>
          <w:b/>
          <w:bCs/>
          <w:color w:val="0070C0"/>
        </w:rPr>
      </w:pPr>
      <w:r w:rsidRPr="005A3BF9">
        <w:rPr>
          <w:b/>
          <w:color w:val="auto"/>
        </w:rPr>
        <w:t>1.</w:t>
      </w:r>
      <w:r w:rsidRPr="005A3BF9">
        <w:rPr>
          <w:b/>
          <w:bCs/>
          <w:color w:val="auto"/>
        </w:rPr>
        <w:t xml:space="preserve"> </w:t>
      </w:r>
      <w:r w:rsidRPr="005A3BF9">
        <w:rPr>
          <w:color w:val="auto"/>
        </w:rPr>
        <w:t>Theo dõi lịch học “Tuần sinh hoạt công dân đầu khóa” bắt buộc</w:t>
      </w:r>
      <w:r w:rsidRPr="005A3BF9">
        <w:rPr>
          <w:b/>
          <w:bCs/>
          <w:color w:val="auto"/>
        </w:rPr>
        <w:t xml:space="preserve"> </w:t>
      </w:r>
      <w:r w:rsidRPr="005A3BF9">
        <w:rPr>
          <w:color w:val="auto"/>
        </w:rPr>
        <w:t xml:space="preserve">tại địa chỉ: </w:t>
      </w:r>
      <w:hyperlink r:id="rId6" w:history="1">
        <w:r w:rsidRPr="005A3BF9">
          <w:rPr>
            <w:rStyle w:val="Hyperlink"/>
            <w:color w:val="0070C0"/>
          </w:rPr>
          <w:t>https://ctsv.ued.udn.vn/index.php/thong-bao-34/ke-hoach-to-chuc-tuan-sinh-hoat-cong-dan-sinh-vien-khoa-tuyen-sinh-nam-2025-170.html</w:t>
        </w:r>
      </w:hyperlink>
      <w:r w:rsidRPr="005A3BF9">
        <w:rPr>
          <w:color w:val="0070C0"/>
        </w:rPr>
        <w:t xml:space="preserve"> </w:t>
      </w:r>
    </w:p>
    <w:p w:rsidR="005A3BF9" w:rsidRPr="005A3BF9" w:rsidRDefault="005A3BF9" w:rsidP="005A3BF9">
      <w:pPr>
        <w:spacing w:line="252" w:lineRule="auto"/>
        <w:ind w:firstLine="720"/>
        <w:jc w:val="both"/>
        <w:rPr>
          <w:color w:val="auto"/>
        </w:rPr>
      </w:pPr>
      <w:r w:rsidRPr="005A3BF9">
        <w:rPr>
          <w:b/>
          <w:color w:val="auto"/>
        </w:rPr>
        <w:t>2.</w:t>
      </w:r>
      <w:r w:rsidRPr="005A3BF9">
        <w:rPr>
          <w:b/>
          <w:bCs/>
          <w:color w:val="auto"/>
        </w:rPr>
        <w:t xml:space="preserve"> </w:t>
      </w:r>
      <w:r w:rsidRPr="005A3BF9">
        <w:rPr>
          <w:color w:val="auto"/>
        </w:rPr>
        <w:t xml:space="preserve">Đăng ký ở Ký túc xá tại link: </w:t>
      </w:r>
      <w:r w:rsidRPr="005A3BF9">
        <w:rPr>
          <w:color w:val="2E74B5" w:themeColor="accent5" w:themeShade="BF"/>
          <w:u w:val="single"/>
        </w:rPr>
        <w:t>https://forms.gle/tubCnG6WbB8iajKt5</w:t>
      </w:r>
      <w:r w:rsidRPr="005A3BF9">
        <w:rPr>
          <w:color w:val="auto"/>
        </w:rPr>
        <w:t xml:space="preserve"> và xác nhận tại văn phòng Ký túc xá trong ngày nhập học (Thời gian mở link: đến hết 13h00 ngày 24/8/2025). Link tham khảo phòng trọ: </w:t>
      </w:r>
      <w:hyperlink r:id="rId7" w:history="1">
        <w:r w:rsidRPr="005A3BF9">
          <w:rPr>
            <w:rStyle w:val="Hyperlink"/>
          </w:rPr>
          <w:t>https://bom.so/GgqnsL</w:t>
        </w:r>
      </w:hyperlink>
      <w:bookmarkStart w:id="2" w:name="_GoBack"/>
      <w:bookmarkEnd w:id="2"/>
    </w:p>
    <w:p w:rsidR="005A3BF9" w:rsidRPr="005A3BF9" w:rsidRDefault="005A3BF9" w:rsidP="005A3BF9">
      <w:pPr>
        <w:spacing w:line="252" w:lineRule="auto"/>
        <w:ind w:firstLine="720"/>
        <w:jc w:val="both"/>
        <w:rPr>
          <w:color w:val="0070C0"/>
          <w:spacing w:val="3"/>
          <w:szCs w:val="26"/>
          <w:u w:val="single"/>
          <w:shd w:val="clear" w:color="auto" w:fill="FFFFFF"/>
        </w:rPr>
      </w:pPr>
      <w:r w:rsidRPr="005A3BF9">
        <w:rPr>
          <w:b/>
          <w:color w:val="auto"/>
          <w:spacing w:val="3"/>
          <w:szCs w:val="26"/>
          <w:shd w:val="clear" w:color="auto" w:fill="FFFFFF"/>
        </w:rPr>
        <w:t xml:space="preserve">3. </w:t>
      </w:r>
      <w:r w:rsidRPr="005A3BF9">
        <w:rPr>
          <w:color w:val="auto"/>
          <w:spacing w:val="3"/>
          <w:szCs w:val="26"/>
          <w:shd w:val="clear" w:color="auto" w:fill="FFFFFF"/>
        </w:rPr>
        <w:t xml:space="preserve">Thực hiện kê khai thông tin BHYT trước khi nhập học, theo địa chỉ: </w:t>
      </w:r>
      <w:hyperlink r:id="rId8" w:history="1">
        <w:r w:rsidRPr="005A3BF9">
          <w:rPr>
            <w:rStyle w:val="Hyperlink"/>
            <w:color w:val="0070C0"/>
            <w:spacing w:val="3"/>
            <w:szCs w:val="26"/>
            <w:shd w:val="clear" w:color="auto" w:fill="FFFFFF"/>
          </w:rPr>
          <w:t>https://bom.so/TokhaibhytK2025sp</w:t>
        </w:r>
      </w:hyperlink>
    </w:p>
    <w:p w:rsidR="005A3BF9" w:rsidRPr="005A3BF9" w:rsidRDefault="005A3BF9" w:rsidP="005A3BF9">
      <w:pPr>
        <w:spacing w:line="252" w:lineRule="auto"/>
        <w:ind w:firstLine="720"/>
        <w:jc w:val="both"/>
        <w:rPr>
          <w:color w:val="auto"/>
        </w:rPr>
      </w:pPr>
      <w:r w:rsidRPr="005A3BF9">
        <w:rPr>
          <w:b/>
          <w:color w:val="auto"/>
        </w:rPr>
        <w:t>4.</w:t>
      </w:r>
      <w:r w:rsidRPr="005A3BF9">
        <w:rPr>
          <w:color w:val="auto"/>
        </w:rPr>
        <w:t xml:space="preserve"> Các kênh thông tin sinh viên cần theo dõi:</w:t>
      </w:r>
    </w:p>
    <w:p w:rsidR="005A3BF9" w:rsidRPr="005A3BF9" w:rsidRDefault="005A3BF9" w:rsidP="005A3BF9">
      <w:pPr>
        <w:spacing w:line="252" w:lineRule="auto"/>
        <w:ind w:firstLine="720"/>
        <w:jc w:val="both"/>
        <w:rPr>
          <w:color w:val="auto"/>
        </w:rPr>
      </w:pPr>
      <w:r w:rsidRPr="005A3BF9">
        <w:rPr>
          <w:color w:val="auto"/>
        </w:rPr>
        <w:t xml:space="preserve">- Website Trường: </w:t>
      </w:r>
      <w:hyperlink r:id="rId9" w:history="1">
        <w:r w:rsidRPr="005A3BF9">
          <w:rPr>
            <w:rStyle w:val="Hyperlink"/>
            <w:color w:val="0070C0"/>
          </w:rPr>
          <w:t>https://ued.udn.vn/</w:t>
        </w:r>
      </w:hyperlink>
    </w:p>
    <w:p w:rsidR="005A3BF9" w:rsidRPr="005A3BF9" w:rsidRDefault="005A3BF9" w:rsidP="005A3BF9">
      <w:pPr>
        <w:spacing w:line="252" w:lineRule="auto"/>
        <w:ind w:firstLine="720"/>
        <w:jc w:val="both"/>
        <w:rPr>
          <w:color w:val="auto"/>
        </w:rPr>
      </w:pPr>
      <w:r w:rsidRPr="005A3BF9">
        <w:rPr>
          <w:color w:val="auto"/>
        </w:rPr>
        <w:t xml:space="preserve">- Website Phòng QLNH-TV: </w:t>
      </w:r>
      <w:hyperlink r:id="rId10" w:history="1">
        <w:r w:rsidRPr="005A3BF9">
          <w:rPr>
            <w:rStyle w:val="Hyperlink"/>
            <w:color w:val="0070C0"/>
          </w:rPr>
          <w:t>https://ctsv.ued.udn.vn/</w:t>
        </w:r>
      </w:hyperlink>
      <w:r w:rsidRPr="005A3BF9">
        <w:rPr>
          <w:color w:val="0070C0"/>
        </w:rPr>
        <w:t xml:space="preserve"> </w:t>
      </w:r>
    </w:p>
    <w:p w:rsidR="005A3BF9" w:rsidRPr="005A3BF9" w:rsidRDefault="005A3BF9" w:rsidP="005A3BF9">
      <w:pPr>
        <w:spacing w:line="252" w:lineRule="auto"/>
        <w:ind w:firstLine="720"/>
        <w:rPr>
          <w:color w:val="0070C0"/>
        </w:rPr>
      </w:pPr>
      <w:r w:rsidRPr="005A3BF9">
        <w:rPr>
          <w:color w:val="auto"/>
        </w:rPr>
        <w:t xml:space="preserve">- Website Phòng Đào tạo: </w:t>
      </w:r>
      <w:hyperlink r:id="rId11" w:history="1">
        <w:r w:rsidRPr="005A3BF9">
          <w:rPr>
            <w:rStyle w:val="Hyperlink"/>
            <w:color w:val="0070C0"/>
          </w:rPr>
          <w:t>https://daotao.ued.udn.vn/</w:t>
        </w:r>
      </w:hyperlink>
      <w:r w:rsidRPr="005A3BF9">
        <w:rPr>
          <w:color w:val="0070C0"/>
        </w:rPr>
        <w:t xml:space="preserve"> </w:t>
      </w:r>
    </w:p>
    <w:p w:rsidR="005A3BF9" w:rsidRPr="005A3BF9" w:rsidRDefault="005A3BF9" w:rsidP="005A3BF9">
      <w:pPr>
        <w:spacing w:line="252" w:lineRule="auto"/>
        <w:ind w:firstLine="720"/>
        <w:jc w:val="both"/>
        <w:rPr>
          <w:color w:val="auto"/>
        </w:rPr>
      </w:pPr>
      <w:r w:rsidRPr="005A3BF9">
        <w:rPr>
          <w:color w:val="auto"/>
        </w:rPr>
        <w:t>- Group Thông báo của Trường:</w:t>
      </w:r>
      <w:r w:rsidRPr="005A3BF9">
        <w:rPr>
          <w:color w:val="auto"/>
          <w:lang w:val="vi-VN"/>
        </w:rPr>
        <w:t xml:space="preserve"> </w:t>
      </w:r>
      <w:hyperlink r:id="rId12" w:history="1">
        <w:r w:rsidRPr="005A3BF9">
          <w:rPr>
            <w:rStyle w:val="Hyperlink"/>
            <w:color w:val="0070C0"/>
            <w:lang w:val="vi-VN"/>
          </w:rPr>
          <w:t>https://www.facebook.com/groups/ueddn</w:t>
        </w:r>
      </w:hyperlink>
      <w:r w:rsidRPr="005A3BF9">
        <w:rPr>
          <w:color w:val="auto"/>
          <w:lang w:val="vi-VN"/>
        </w:rPr>
        <w:t xml:space="preserve"> </w:t>
      </w:r>
    </w:p>
    <w:p w:rsidR="005A3BF9" w:rsidRPr="005A3BF9" w:rsidRDefault="005A3BF9" w:rsidP="005A3BF9">
      <w:pPr>
        <w:spacing w:line="252" w:lineRule="auto"/>
        <w:ind w:firstLine="720"/>
        <w:jc w:val="both"/>
        <w:rPr>
          <w:color w:val="auto"/>
        </w:rPr>
      </w:pPr>
      <w:r w:rsidRPr="005A3BF9">
        <w:rPr>
          <w:color w:val="auto"/>
        </w:rPr>
        <w:t xml:space="preserve">- Fanpage Trường: </w:t>
      </w:r>
      <w:hyperlink r:id="rId13" w:history="1">
        <w:r w:rsidRPr="005A3BF9">
          <w:rPr>
            <w:rStyle w:val="Hyperlink"/>
            <w:color w:val="auto"/>
          </w:rPr>
          <w:t>https://www.facebook.com/ueddn</w:t>
        </w:r>
      </w:hyperlink>
      <w:r w:rsidRPr="005A3BF9">
        <w:rPr>
          <w:color w:val="auto"/>
        </w:rPr>
        <w:t xml:space="preserve"> </w:t>
      </w:r>
    </w:p>
    <w:p w:rsidR="005A3BF9" w:rsidRPr="003D3A27" w:rsidRDefault="005A3BF9" w:rsidP="005A3BF9">
      <w:pPr>
        <w:spacing w:line="252" w:lineRule="auto"/>
        <w:ind w:firstLine="720"/>
        <w:rPr>
          <w:color w:val="auto"/>
        </w:rPr>
      </w:pPr>
      <w:r w:rsidRPr="005A3BF9">
        <w:rPr>
          <w:color w:val="auto"/>
        </w:rPr>
        <w:t xml:space="preserve">- Fanpage Phòng QLNH-TV: </w:t>
      </w:r>
      <w:hyperlink r:id="rId14" w:history="1">
        <w:r w:rsidRPr="005A3BF9">
          <w:rPr>
            <w:rStyle w:val="Hyperlink"/>
          </w:rPr>
          <w:t>https://www.facebook.com/profile.php?id=61576839382139</w:t>
        </w:r>
      </w:hyperlink>
      <w:r>
        <w:rPr>
          <w:color w:val="auto"/>
        </w:rPr>
        <w:t xml:space="preserve"> </w:t>
      </w:r>
    </w:p>
    <w:p w:rsidR="005A3BF9" w:rsidRPr="000729EB" w:rsidRDefault="005A3BF9" w:rsidP="005A3BF9">
      <w:pPr>
        <w:spacing w:line="252" w:lineRule="auto"/>
        <w:ind w:firstLine="720"/>
        <w:rPr>
          <w:color w:val="0070C0"/>
        </w:rPr>
      </w:pPr>
      <w:r w:rsidRPr="000729EB">
        <w:rPr>
          <w:color w:val="0070C0"/>
        </w:rPr>
        <w:t xml:space="preserve"> </w:t>
      </w:r>
    </w:p>
    <w:p w:rsidR="00F914B1" w:rsidRDefault="00F914B1"/>
    <w:sectPr w:rsidR="00F914B1" w:rsidSect="005A3BF9">
      <w:type w:val="continuous"/>
      <w:pgSz w:w="11907" w:h="16840" w:code="9"/>
      <w:pgMar w:top="709" w:right="1134"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F9"/>
    <w:rsid w:val="001B2E4C"/>
    <w:rsid w:val="005A3BF9"/>
    <w:rsid w:val="00E842F8"/>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6801B-F77E-4FF9-917F-DFA5B8A0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BF9"/>
    <w:pPr>
      <w:spacing w:after="0" w:line="240" w:lineRule="auto"/>
    </w:pPr>
    <w:rPr>
      <w:rFonts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BF9"/>
    <w:rPr>
      <w:color w:val="0563C1" w:themeColor="hyperlink"/>
      <w:u w:val="single"/>
    </w:rPr>
  </w:style>
  <w:style w:type="table" w:styleId="TableGrid">
    <w:name w:val="Table Grid"/>
    <w:basedOn w:val="TableNormal"/>
    <w:uiPriority w:val="39"/>
    <w:rsid w:val="005A3BF9"/>
    <w:pPr>
      <w:spacing w:after="0" w:line="240" w:lineRule="auto"/>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A3BF9"/>
    <w:rPr>
      <w:rFonts w:ascii="Times New Roman" w:hAnsi="Times New Roman" w:cs="Times New Roman" w:hint="default"/>
      <w:b w:val="0"/>
      <w:bCs w:val="0"/>
      <w:i w:val="0"/>
      <w:iCs w:val="0"/>
      <w:color w:val="000000"/>
      <w:sz w:val="26"/>
      <w:szCs w:val="26"/>
    </w:rPr>
  </w:style>
  <w:style w:type="character" w:styleId="UnresolvedMention">
    <w:name w:val="Unresolved Mention"/>
    <w:basedOn w:val="DefaultParagraphFont"/>
    <w:uiPriority w:val="99"/>
    <w:semiHidden/>
    <w:unhideWhenUsed/>
    <w:rsid w:val="005A3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m.so/TokhaibhytK2025sp" TargetMode="External"/><Relationship Id="rId13" Type="http://schemas.openxmlformats.org/officeDocument/2006/relationships/hyperlink" Target="https://www.facebook.com/ueddn" TargetMode="External"/><Relationship Id="rId3" Type="http://schemas.openxmlformats.org/officeDocument/2006/relationships/webSettings" Target="webSettings.xml"/><Relationship Id="rId7" Type="http://schemas.openxmlformats.org/officeDocument/2006/relationships/hyperlink" Target="https://bom.so/GgqnsL" TargetMode="External"/><Relationship Id="rId12" Type="http://schemas.openxmlformats.org/officeDocument/2006/relationships/hyperlink" Target="https://www.facebook.com/groups/uedd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tsv.ued.udn.vn/index.php/thong-bao-34/ke-hoach-to-chuc-tuan-sinh-hoat-cong-dan-sinh-vien-khoa-tuyen-sinh-nam-2025-170.html" TargetMode="External"/><Relationship Id="rId11" Type="http://schemas.openxmlformats.org/officeDocument/2006/relationships/hyperlink" Target="https://daotao.ued.udn.vn/" TargetMode="External"/><Relationship Id="rId5" Type="http://schemas.openxmlformats.org/officeDocument/2006/relationships/hyperlink" Target="https://ued-my.sharepoint.com/:b:/g/personal/phongqlnh-tv_ued_udn_vn/EY4-kSO48DlNriAQoKlPDDQBp1XehaB1W43O4sMzCCU-Lg?e=QgHHU3" TargetMode="External"/><Relationship Id="rId15" Type="http://schemas.openxmlformats.org/officeDocument/2006/relationships/fontTable" Target="fontTable.xml"/><Relationship Id="rId10" Type="http://schemas.openxmlformats.org/officeDocument/2006/relationships/hyperlink" Target="https://ctsv.ued.udn.vn/" TargetMode="External"/><Relationship Id="rId4" Type="http://schemas.openxmlformats.org/officeDocument/2006/relationships/hyperlink" Target="https://ts.udn.vn/" TargetMode="External"/><Relationship Id="rId9" Type="http://schemas.openxmlformats.org/officeDocument/2006/relationships/hyperlink" Target="https://ued.udn.vn/" TargetMode="External"/><Relationship Id="rId14" Type="http://schemas.openxmlformats.org/officeDocument/2006/relationships/hyperlink" Target="https://www.facebook.com/profile.php?id=61576839382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6800</Characters>
  <Application>Microsoft Office Word</Application>
  <DocSecurity>0</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Phòng Công tác Sinh viên - ĐH Sư phạm - ĐH Đà Nẵng</dc:creator>
  <cp:keywords/>
  <dc:description/>
  <cp:lastModifiedBy>Phòng Công tác Sinh viên - ĐH Sư phạm - ĐH Đà Nẵng</cp:lastModifiedBy>
  <cp:revision>1</cp:revision>
  <dcterms:created xsi:type="dcterms:W3CDTF">2025-08-23T06:51:00Z</dcterms:created>
  <dcterms:modified xsi:type="dcterms:W3CDTF">2025-08-23T06:52:00Z</dcterms:modified>
</cp:coreProperties>
</file>